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Ind w:w="2764" w:type="dxa"/>
        <w:tblLook w:val="04A0" w:firstRow="1" w:lastRow="0" w:firstColumn="1" w:lastColumn="0" w:noHBand="0" w:noVBand="1"/>
      </w:tblPr>
      <w:tblGrid>
        <w:gridCol w:w="5209"/>
      </w:tblGrid>
      <w:tr w:rsidR="00416A83" w:rsidTr="00416A83">
        <w:trPr>
          <w:jc w:val="center"/>
        </w:trPr>
        <w:tc>
          <w:tcPr>
            <w:tcW w:w="5209" w:type="dxa"/>
          </w:tcPr>
          <w:p w:rsidR="00416A83" w:rsidRPr="00416A83" w:rsidRDefault="00416A83" w:rsidP="00416A83">
            <w:pPr>
              <w:jc w:val="center"/>
              <w:rPr>
                <w:sz w:val="28"/>
                <w:szCs w:val="28"/>
              </w:rPr>
            </w:pPr>
            <w:r w:rsidRPr="00416A83">
              <w:rPr>
                <w:sz w:val="28"/>
                <w:szCs w:val="28"/>
              </w:rPr>
              <w:t>CODE CIVIL</w:t>
            </w:r>
          </w:p>
        </w:tc>
      </w:tr>
    </w:tbl>
    <w:p w:rsidR="00B87D69" w:rsidRDefault="00B87D69"/>
    <w:p w:rsidR="00416A83" w:rsidRPr="00416A83" w:rsidRDefault="00416A83" w:rsidP="00416A83">
      <w:pPr>
        <w:shd w:val="clear" w:color="auto" w:fill="FFFFFF"/>
        <w:spacing w:after="0" w:line="240" w:lineRule="auto"/>
        <w:rPr>
          <w:rFonts w:ascii="Arial" w:eastAsia="Times New Roman" w:hAnsi="Arial" w:cs="Arial"/>
          <w:b/>
          <w:bCs/>
          <w:color w:val="000000"/>
          <w:sz w:val="23"/>
          <w:szCs w:val="23"/>
          <w:lang w:eastAsia="fr-FR"/>
        </w:rPr>
      </w:pPr>
      <w:r w:rsidRPr="00416A83">
        <w:rPr>
          <w:rFonts w:ascii="Arial" w:eastAsia="Times New Roman" w:hAnsi="Arial" w:cs="Arial"/>
          <w:b/>
          <w:bCs/>
          <w:color w:val="000000"/>
          <w:sz w:val="23"/>
          <w:szCs w:val="23"/>
          <w:lang w:eastAsia="fr-FR"/>
        </w:rPr>
        <w:t>Article 10 </w:t>
      </w:r>
      <w:r>
        <w:rPr>
          <w:rFonts w:ascii="Arial" w:eastAsia="Times New Roman" w:hAnsi="Arial" w:cs="Arial"/>
          <w:b/>
          <w:bCs/>
          <w:color w:val="000000"/>
          <w:sz w:val="23"/>
          <w:szCs w:val="23"/>
          <w:lang w:eastAsia="fr-FR"/>
        </w:rPr>
        <w:t>« </w:t>
      </w:r>
      <w:r w:rsidRPr="00416A83">
        <w:rPr>
          <w:rFonts w:ascii="Arial" w:eastAsia="Times New Roman" w:hAnsi="Arial" w:cs="Arial"/>
          <w:color w:val="000000"/>
          <w:sz w:val="19"/>
          <w:szCs w:val="19"/>
          <w:lang w:eastAsia="fr-FR"/>
        </w:rPr>
        <w:t>Chacun est tenu d'apporter son concours à la justice en vue de la manifestation de la vérité.</w:t>
      </w:r>
    </w:p>
    <w:p w:rsidR="00416A83" w:rsidRPr="00416A83" w:rsidRDefault="00416A83" w:rsidP="00416A83">
      <w:pPr>
        <w:shd w:val="clear" w:color="auto" w:fill="FFFFFF"/>
        <w:spacing w:before="180" w:after="180" w:line="240" w:lineRule="auto"/>
        <w:rPr>
          <w:rFonts w:ascii="Arial" w:eastAsia="Times New Roman" w:hAnsi="Arial" w:cs="Arial"/>
          <w:color w:val="000000"/>
          <w:sz w:val="19"/>
          <w:szCs w:val="19"/>
          <w:lang w:eastAsia="fr-FR"/>
        </w:rPr>
      </w:pPr>
      <w:r w:rsidRPr="00416A83">
        <w:rPr>
          <w:rFonts w:ascii="Arial" w:eastAsia="Times New Roman" w:hAnsi="Arial" w:cs="Arial"/>
          <w:color w:val="000000"/>
          <w:sz w:val="19"/>
          <w:szCs w:val="19"/>
          <w:lang w:eastAsia="fr-FR"/>
        </w:rPr>
        <w:t>Celui qui, sans motif légitime, se soustrait à cette obligation lorsqu'il en a été légalement requis, peut être contraint d'y satisfaire, au besoin à peine d'astreinte ou d'amende civile, sans préjudice de dommages et intérêts</w:t>
      </w:r>
      <w:r>
        <w:rPr>
          <w:rFonts w:ascii="Arial" w:eastAsia="Times New Roman" w:hAnsi="Arial" w:cs="Arial"/>
          <w:color w:val="000000"/>
          <w:sz w:val="19"/>
          <w:szCs w:val="19"/>
          <w:lang w:eastAsia="fr-FR"/>
        </w:rPr>
        <w:t> »</w:t>
      </w:r>
      <w:r w:rsidRPr="00416A83">
        <w:rPr>
          <w:rFonts w:ascii="Arial" w:eastAsia="Times New Roman" w:hAnsi="Arial" w:cs="Arial"/>
          <w:color w:val="000000"/>
          <w:sz w:val="19"/>
          <w:szCs w:val="19"/>
          <w:lang w:eastAsia="fr-FR"/>
        </w:rPr>
        <w:t>.</w:t>
      </w:r>
    </w:p>
    <w:p w:rsidR="00416A83" w:rsidRDefault="00416A83" w:rsidP="00416A83">
      <w:pPr>
        <w:shd w:val="clear" w:color="auto" w:fill="FFFFFF"/>
        <w:spacing w:after="0" w:line="240" w:lineRule="auto"/>
        <w:rPr>
          <w:rFonts w:ascii="Arial" w:eastAsia="Times New Roman" w:hAnsi="Arial" w:cs="Arial"/>
          <w:color w:val="000000"/>
          <w:sz w:val="19"/>
          <w:szCs w:val="19"/>
          <w:lang w:eastAsia="fr-FR"/>
        </w:rPr>
      </w:pPr>
      <w:r>
        <w:rPr>
          <w:rFonts w:ascii="Arial" w:eastAsia="Times New Roman" w:hAnsi="Arial" w:cs="Arial"/>
          <w:b/>
          <w:bCs/>
          <w:color w:val="000000"/>
          <w:sz w:val="23"/>
          <w:szCs w:val="23"/>
          <w:lang w:eastAsia="fr-FR"/>
        </w:rPr>
        <w:t>Article 1591 « </w:t>
      </w:r>
      <w:r w:rsidRPr="00416A83">
        <w:rPr>
          <w:rFonts w:ascii="Arial" w:eastAsia="Times New Roman" w:hAnsi="Arial" w:cs="Arial"/>
          <w:color w:val="000000"/>
          <w:sz w:val="19"/>
          <w:szCs w:val="19"/>
          <w:lang w:eastAsia="fr-FR"/>
        </w:rPr>
        <w:t>Le prix de la vente doit être déterminé et désigné par les parties</w:t>
      </w:r>
      <w:r>
        <w:rPr>
          <w:rFonts w:ascii="Arial" w:eastAsia="Times New Roman" w:hAnsi="Arial" w:cs="Arial"/>
          <w:color w:val="000000"/>
          <w:sz w:val="19"/>
          <w:szCs w:val="19"/>
          <w:lang w:eastAsia="fr-FR"/>
        </w:rPr>
        <w:t> »</w:t>
      </w:r>
      <w:r w:rsidRPr="00416A83">
        <w:rPr>
          <w:rFonts w:ascii="Arial" w:eastAsia="Times New Roman" w:hAnsi="Arial" w:cs="Arial"/>
          <w:color w:val="000000"/>
          <w:sz w:val="19"/>
          <w:szCs w:val="19"/>
          <w:lang w:eastAsia="fr-FR"/>
        </w:rPr>
        <w:t>.</w:t>
      </w:r>
    </w:p>
    <w:p w:rsidR="00416A83" w:rsidRPr="00416A83" w:rsidRDefault="00416A83" w:rsidP="00416A83">
      <w:pPr>
        <w:shd w:val="clear" w:color="auto" w:fill="FFFFFF"/>
        <w:spacing w:after="0" w:line="240" w:lineRule="auto"/>
        <w:rPr>
          <w:rFonts w:ascii="Arial" w:eastAsia="Times New Roman" w:hAnsi="Arial" w:cs="Arial"/>
          <w:b/>
          <w:bCs/>
          <w:color w:val="000000"/>
          <w:sz w:val="23"/>
          <w:szCs w:val="23"/>
          <w:lang w:eastAsia="fr-FR"/>
        </w:rPr>
      </w:pPr>
    </w:p>
    <w:p w:rsidR="00416A83" w:rsidRPr="00416A83" w:rsidRDefault="00416A83" w:rsidP="00416A83">
      <w:pPr>
        <w:shd w:val="clear" w:color="auto" w:fill="FFFFFF"/>
        <w:spacing w:after="0" w:line="240" w:lineRule="auto"/>
        <w:rPr>
          <w:rFonts w:ascii="Arial" w:eastAsia="Times New Roman" w:hAnsi="Arial" w:cs="Arial"/>
          <w:b/>
          <w:bCs/>
          <w:color w:val="000000"/>
          <w:sz w:val="23"/>
          <w:szCs w:val="23"/>
          <w:lang w:eastAsia="fr-FR"/>
        </w:rPr>
      </w:pPr>
      <w:r>
        <w:rPr>
          <w:rFonts w:ascii="Arial" w:eastAsia="Times New Roman" w:hAnsi="Arial" w:cs="Arial"/>
          <w:b/>
          <w:bCs/>
          <w:color w:val="000000"/>
          <w:sz w:val="23"/>
          <w:szCs w:val="23"/>
          <w:lang w:eastAsia="fr-FR"/>
        </w:rPr>
        <w:t>Article 1592</w:t>
      </w:r>
      <w:r w:rsidRPr="00416A83">
        <w:rPr>
          <w:rFonts w:ascii="Arial" w:eastAsia="Times New Roman" w:hAnsi="Arial" w:cs="Arial"/>
          <w:b/>
          <w:bCs/>
          <w:sz w:val="23"/>
          <w:szCs w:val="23"/>
          <w:lang w:eastAsia="fr-FR"/>
        </w:rPr>
        <w:t xml:space="preserve"> «</w:t>
      </w:r>
      <w:r>
        <w:rPr>
          <w:rFonts w:ascii="Arial" w:eastAsia="Times New Roman" w:hAnsi="Arial" w:cs="Arial"/>
          <w:b/>
          <w:bCs/>
          <w:sz w:val="23"/>
          <w:szCs w:val="23"/>
          <w:lang w:eastAsia="fr-FR"/>
        </w:rPr>
        <w:t xml:space="preserve"> </w:t>
      </w:r>
      <w:r w:rsidRPr="00416A83">
        <w:rPr>
          <w:rFonts w:ascii="Arial" w:eastAsia="Times New Roman" w:hAnsi="Arial" w:cs="Arial"/>
          <w:color w:val="000000"/>
          <w:sz w:val="19"/>
          <w:szCs w:val="19"/>
          <w:lang w:eastAsia="fr-FR"/>
        </w:rPr>
        <w:t>Il peut cependant être laissé à l'estimation d'un tiers ; si le tiers ne veut ou ne peut faire l'estimation, il n'y a point de vente, sauf estimation par un autre tiers</w:t>
      </w:r>
      <w:r>
        <w:rPr>
          <w:rFonts w:ascii="Arial" w:eastAsia="Times New Roman" w:hAnsi="Arial" w:cs="Arial"/>
          <w:color w:val="000000"/>
          <w:sz w:val="19"/>
          <w:szCs w:val="19"/>
          <w:lang w:eastAsia="fr-FR"/>
        </w:rPr>
        <w:t> »</w:t>
      </w:r>
      <w:r w:rsidRPr="00416A83">
        <w:rPr>
          <w:rFonts w:ascii="Arial" w:eastAsia="Times New Roman" w:hAnsi="Arial" w:cs="Arial"/>
          <w:color w:val="000000"/>
          <w:sz w:val="19"/>
          <w:szCs w:val="19"/>
          <w:lang w:eastAsia="fr-FR"/>
        </w:rPr>
        <w:t>.</w:t>
      </w:r>
    </w:p>
    <w:p w:rsidR="00416A83" w:rsidRDefault="00416A83" w:rsidP="00416A83">
      <w:pPr>
        <w:shd w:val="clear" w:color="auto" w:fill="FFFFFF"/>
        <w:spacing w:after="0" w:line="240" w:lineRule="auto"/>
      </w:pPr>
    </w:p>
    <w:p w:rsidR="00416A83" w:rsidRPr="00416A83" w:rsidRDefault="00416A83" w:rsidP="00416A83">
      <w:pPr>
        <w:shd w:val="clear" w:color="auto" w:fill="FFFFFF"/>
        <w:spacing w:after="0" w:line="240" w:lineRule="auto"/>
        <w:rPr>
          <w:rFonts w:ascii="Arial" w:eastAsia="Times New Roman" w:hAnsi="Arial" w:cs="Arial"/>
          <w:b/>
          <w:bCs/>
          <w:color w:val="000000"/>
          <w:sz w:val="23"/>
          <w:szCs w:val="23"/>
          <w:lang w:eastAsia="fr-FR"/>
        </w:rPr>
      </w:pPr>
      <w:r>
        <w:rPr>
          <w:rFonts w:ascii="Arial" w:eastAsia="Times New Roman" w:hAnsi="Arial" w:cs="Arial"/>
          <w:b/>
          <w:bCs/>
          <w:color w:val="000000"/>
          <w:sz w:val="23"/>
          <w:szCs w:val="23"/>
          <w:lang w:eastAsia="fr-FR"/>
        </w:rPr>
        <w:t>Article 1843-4</w:t>
      </w:r>
    </w:p>
    <w:p w:rsidR="00416A83" w:rsidRPr="00416A83" w:rsidRDefault="00416A83" w:rsidP="00416A83">
      <w:pPr>
        <w:shd w:val="clear" w:color="auto" w:fill="FFFFFF"/>
        <w:spacing w:after="150" w:line="240" w:lineRule="auto"/>
        <w:rPr>
          <w:rFonts w:ascii="Arial" w:eastAsia="Times New Roman" w:hAnsi="Arial" w:cs="Arial"/>
          <w:i/>
          <w:sz w:val="19"/>
          <w:szCs w:val="19"/>
          <w:lang w:eastAsia="fr-FR"/>
        </w:rPr>
      </w:pPr>
      <w:r w:rsidRPr="00416A83">
        <w:rPr>
          <w:rFonts w:ascii="Arial" w:eastAsia="Times New Roman" w:hAnsi="Arial" w:cs="Arial"/>
          <w:i/>
          <w:sz w:val="19"/>
          <w:szCs w:val="19"/>
          <w:lang w:eastAsia="fr-FR"/>
        </w:rPr>
        <w:t xml:space="preserve">Modifié par l’ordonnance n°2019-738 du 17 juillet 2019 </w:t>
      </w:r>
    </w:p>
    <w:p w:rsidR="00416A83" w:rsidRPr="00416A83" w:rsidRDefault="00164729" w:rsidP="00416A83">
      <w:pPr>
        <w:shd w:val="clear" w:color="auto" w:fill="FFFFFF"/>
        <w:spacing w:before="180" w:after="180" w:line="240" w:lineRule="auto"/>
        <w:jc w:val="both"/>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 </w:t>
      </w:r>
      <w:r w:rsidR="00416A83" w:rsidRPr="00416A83">
        <w:rPr>
          <w:rFonts w:ascii="Arial" w:eastAsia="Times New Roman" w:hAnsi="Arial" w:cs="Arial"/>
          <w:color w:val="000000"/>
          <w:sz w:val="19"/>
          <w:szCs w:val="19"/>
          <w:lang w:eastAsia="fr-FR"/>
        </w:rPr>
        <w:t>I. – Dans les cas où la loi renvoie au présent article pour fixer les conditions de prix d'une cession des droits sociaux d'un associé, ou le rachat de ceux-ci par la société, la valeur de ces droits est déterminée, en cas de contestation, par un expert désigné, soit par les parties, soit à défaut d'accord entre elles, par jugement du président du tribunal judiciaire ou du tribunal de commerce compétent, statuant selon la procédure accélérée au fond et sans recours possible.</w:t>
      </w:r>
    </w:p>
    <w:p w:rsidR="00416A83" w:rsidRPr="00416A83" w:rsidRDefault="00416A83" w:rsidP="00416A83">
      <w:pPr>
        <w:shd w:val="clear" w:color="auto" w:fill="FFFFFF"/>
        <w:spacing w:before="180" w:after="180" w:line="240" w:lineRule="auto"/>
        <w:jc w:val="both"/>
        <w:rPr>
          <w:rFonts w:ascii="Arial" w:eastAsia="Times New Roman" w:hAnsi="Arial" w:cs="Arial"/>
          <w:color w:val="000000"/>
          <w:sz w:val="19"/>
          <w:szCs w:val="19"/>
          <w:lang w:eastAsia="fr-FR"/>
        </w:rPr>
      </w:pPr>
      <w:r w:rsidRPr="00416A83">
        <w:rPr>
          <w:rFonts w:ascii="Arial" w:eastAsia="Times New Roman" w:hAnsi="Arial" w:cs="Arial"/>
          <w:color w:val="000000"/>
          <w:sz w:val="19"/>
          <w:szCs w:val="19"/>
          <w:lang w:eastAsia="fr-FR"/>
        </w:rPr>
        <w:t>L'expert ainsi désigné est tenu d'appliquer, lorsqu'elles existent, les règles et modalités de détermination de la valeur prévues par les statuts de la société ou par toute convention liant les parties.</w:t>
      </w:r>
    </w:p>
    <w:p w:rsidR="00416A83" w:rsidRPr="00416A83" w:rsidRDefault="00416A83" w:rsidP="00416A83">
      <w:pPr>
        <w:shd w:val="clear" w:color="auto" w:fill="FFFFFF"/>
        <w:spacing w:before="180" w:after="180" w:line="240" w:lineRule="auto"/>
        <w:jc w:val="both"/>
        <w:rPr>
          <w:rFonts w:ascii="Arial" w:eastAsia="Times New Roman" w:hAnsi="Arial" w:cs="Arial"/>
          <w:color w:val="000000"/>
          <w:sz w:val="19"/>
          <w:szCs w:val="19"/>
          <w:lang w:eastAsia="fr-FR"/>
        </w:rPr>
      </w:pPr>
      <w:r w:rsidRPr="00416A83">
        <w:rPr>
          <w:rFonts w:ascii="Arial" w:eastAsia="Times New Roman" w:hAnsi="Arial" w:cs="Arial"/>
          <w:color w:val="000000"/>
          <w:sz w:val="19"/>
          <w:szCs w:val="19"/>
          <w:lang w:eastAsia="fr-FR"/>
        </w:rPr>
        <w:t>II. – Dans les cas où les statuts prévoient la cession des droits sociaux d'un associé ou le rachat de ces droits par la société sans que leur valeur soit ni déterminée ni déterminable, celle-ci est déterminée, en cas de contestation, par un expert désigné dans les conditions du premier alinéa.</w:t>
      </w:r>
    </w:p>
    <w:p w:rsidR="00416A83" w:rsidRPr="00416A83" w:rsidRDefault="00416A83" w:rsidP="00416A83">
      <w:pPr>
        <w:shd w:val="clear" w:color="auto" w:fill="FFFFFF"/>
        <w:spacing w:before="180" w:after="180" w:line="240" w:lineRule="auto"/>
        <w:jc w:val="both"/>
        <w:rPr>
          <w:rFonts w:ascii="Arial" w:eastAsia="Times New Roman" w:hAnsi="Arial" w:cs="Arial"/>
          <w:color w:val="000000"/>
          <w:sz w:val="19"/>
          <w:szCs w:val="19"/>
          <w:lang w:eastAsia="fr-FR"/>
        </w:rPr>
      </w:pPr>
      <w:r w:rsidRPr="00416A83">
        <w:rPr>
          <w:rFonts w:ascii="Arial" w:eastAsia="Times New Roman" w:hAnsi="Arial" w:cs="Arial"/>
          <w:color w:val="000000"/>
          <w:sz w:val="19"/>
          <w:szCs w:val="19"/>
          <w:lang w:eastAsia="fr-FR"/>
        </w:rPr>
        <w:t>L'expert ainsi désigné est tenu d'appliquer, lorsqu'elles existent, les règles et modalités de détermination de la valeur prévues par toute convention liant les parties</w:t>
      </w:r>
      <w:r w:rsidR="00164729">
        <w:rPr>
          <w:rFonts w:ascii="Arial" w:eastAsia="Times New Roman" w:hAnsi="Arial" w:cs="Arial"/>
          <w:color w:val="000000"/>
          <w:sz w:val="19"/>
          <w:szCs w:val="19"/>
          <w:lang w:eastAsia="fr-FR"/>
        </w:rPr>
        <w:t> »</w:t>
      </w:r>
      <w:r w:rsidRPr="00416A83">
        <w:rPr>
          <w:rFonts w:ascii="Arial" w:eastAsia="Times New Roman" w:hAnsi="Arial" w:cs="Arial"/>
          <w:color w:val="000000"/>
          <w:sz w:val="19"/>
          <w:szCs w:val="19"/>
          <w:lang w:eastAsia="fr-FR"/>
        </w:rPr>
        <w:t>.</w:t>
      </w:r>
    </w:p>
    <w:p w:rsidR="00416A83" w:rsidRPr="00416A83" w:rsidRDefault="00416A83" w:rsidP="00416A83">
      <w:pPr>
        <w:shd w:val="clear" w:color="auto" w:fill="FFFFFF"/>
        <w:spacing w:after="0" w:line="240" w:lineRule="auto"/>
        <w:jc w:val="both"/>
        <w:rPr>
          <w:rFonts w:ascii="Arial" w:eastAsia="Times New Roman" w:hAnsi="Arial" w:cs="Arial"/>
          <w:i/>
          <w:iCs/>
          <w:color w:val="000000"/>
          <w:sz w:val="19"/>
          <w:szCs w:val="19"/>
          <w:lang w:eastAsia="fr-FR"/>
        </w:rPr>
      </w:pPr>
      <w:r w:rsidRPr="00416A83">
        <w:rPr>
          <w:rFonts w:ascii="Arial" w:eastAsia="Times New Roman" w:hAnsi="Arial" w:cs="Arial"/>
          <w:i/>
          <w:iCs/>
          <w:color w:val="000000"/>
          <w:sz w:val="19"/>
          <w:szCs w:val="19"/>
          <w:lang w:eastAsia="fr-FR"/>
        </w:rPr>
        <w:t>NOTA : </w:t>
      </w:r>
    </w:p>
    <w:p w:rsidR="00416A83" w:rsidRPr="00416A83" w:rsidRDefault="00416A83" w:rsidP="00416A83">
      <w:pPr>
        <w:shd w:val="clear" w:color="auto" w:fill="FFFFFF"/>
        <w:spacing w:before="180" w:after="180" w:line="240" w:lineRule="auto"/>
        <w:jc w:val="both"/>
        <w:rPr>
          <w:rFonts w:ascii="Arial" w:eastAsia="Times New Roman" w:hAnsi="Arial" w:cs="Arial"/>
          <w:i/>
          <w:iCs/>
          <w:color w:val="000000"/>
          <w:sz w:val="19"/>
          <w:szCs w:val="19"/>
          <w:lang w:eastAsia="fr-FR"/>
        </w:rPr>
      </w:pPr>
      <w:r w:rsidRPr="00416A83">
        <w:rPr>
          <w:rFonts w:ascii="Arial" w:eastAsia="Times New Roman" w:hAnsi="Arial" w:cs="Arial"/>
          <w:i/>
          <w:iCs/>
          <w:color w:val="333333"/>
          <w:sz w:val="19"/>
          <w:szCs w:val="19"/>
          <w:lang w:eastAsia="fr-FR"/>
        </w:rPr>
        <w:t>Conformément à l'article 30 de l'ordonnance n° 2019-738 du 17 juillet 2019, ces dispositions s'appliquent aux demandes introduites à compter du 1er janvier 2020.</w:t>
      </w:r>
    </w:p>
    <w:p w:rsidR="00164729" w:rsidRPr="00416A83" w:rsidRDefault="00164729" w:rsidP="00416A83">
      <w:pPr>
        <w:spacing w:after="0" w:line="240" w:lineRule="auto"/>
        <w:rPr>
          <w:rFonts w:ascii="Times New Roman" w:eastAsia="Times New Roman" w:hAnsi="Times New Roman" w:cs="Times New Roman"/>
          <w:b/>
          <w:bCs/>
          <w:sz w:val="23"/>
          <w:szCs w:val="23"/>
          <w:lang w:eastAsia="fr-FR"/>
        </w:rPr>
      </w:pPr>
      <w:r>
        <w:rPr>
          <w:rFonts w:ascii="Times New Roman" w:eastAsia="Times New Roman" w:hAnsi="Times New Roman" w:cs="Times New Roman"/>
          <w:b/>
          <w:bCs/>
          <w:sz w:val="23"/>
          <w:szCs w:val="23"/>
          <w:lang w:eastAsia="fr-FR"/>
        </w:rPr>
        <w:t>Article 2224</w:t>
      </w:r>
    </w:p>
    <w:p w:rsidR="00164729" w:rsidRPr="00416A83" w:rsidRDefault="00416A83" w:rsidP="00164729">
      <w:pPr>
        <w:spacing w:after="150" w:line="240" w:lineRule="auto"/>
        <w:rPr>
          <w:rFonts w:ascii="Times New Roman" w:eastAsia="Times New Roman" w:hAnsi="Times New Roman" w:cs="Times New Roman"/>
          <w:i/>
          <w:sz w:val="19"/>
          <w:szCs w:val="19"/>
          <w:u w:val="single"/>
          <w:lang w:eastAsia="fr-FR"/>
        </w:rPr>
      </w:pPr>
      <w:r w:rsidRPr="00416A83">
        <w:rPr>
          <w:rFonts w:ascii="Times New Roman" w:eastAsia="Times New Roman" w:hAnsi="Times New Roman" w:cs="Times New Roman"/>
          <w:i/>
          <w:sz w:val="19"/>
          <w:szCs w:val="19"/>
          <w:u w:val="single"/>
          <w:lang w:eastAsia="fr-FR"/>
        </w:rPr>
        <w:t>Modifié par </w:t>
      </w:r>
      <w:r w:rsidR="00164729">
        <w:rPr>
          <w:rFonts w:ascii="Times New Roman" w:eastAsia="Times New Roman" w:hAnsi="Times New Roman" w:cs="Times New Roman"/>
          <w:i/>
          <w:sz w:val="19"/>
          <w:szCs w:val="19"/>
          <w:u w:val="single"/>
          <w:lang w:eastAsia="fr-FR"/>
        </w:rPr>
        <w:t xml:space="preserve">la loi n° 2008-561 du 17 juin 2008. </w:t>
      </w:r>
      <w:hyperlink r:id="rId5" w:history="1"/>
      <w:bookmarkStart w:id="0" w:name="_GoBack"/>
      <w:bookmarkEnd w:id="0"/>
    </w:p>
    <w:p w:rsidR="00416A83" w:rsidRPr="00416A83" w:rsidRDefault="00164729" w:rsidP="00416A83">
      <w:pPr>
        <w:shd w:val="clear" w:color="auto" w:fill="FFFFFF"/>
        <w:spacing w:before="180" w:after="180" w:line="240" w:lineRule="auto"/>
        <w:rPr>
          <w:rFonts w:ascii="Arial" w:eastAsia="Times New Roman" w:hAnsi="Arial" w:cs="Arial"/>
          <w:color w:val="000000"/>
          <w:sz w:val="19"/>
          <w:szCs w:val="19"/>
          <w:lang w:eastAsia="fr-FR"/>
        </w:rPr>
      </w:pPr>
      <w:r>
        <w:rPr>
          <w:rFonts w:ascii="Arial" w:eastAsia="Times New Roman" w:hAnsi="Arial" w:cs="Arial"/>
          <w:color w:val="000000"/>
          <w:sz w:val="19"/>
          <w:szCs w:val="19"/>
          <w:lang w:eastAsia="fr-FR"/>
        </w:rPr>
        <w:t>« </w:t>
      </w:r>
      <w:r w:rsidR="00416A83" w:rsidRPr="00416A83">
        <w:rPr>
          <w:rFonts w:ascii="Arial" w:eastAsia="Times New Roman" w:hAnsi="Arial" w:cs="Arial"/>
          <w:color w:val="000000"/>
          <w:sz w:val="19"/>
          <w:szCs w:val="19"/>
          <w:lang w:eastAsia="fr-FR"/>
        </w:rPr>
        <w:t>Les actions personnelles ou mobilières se prescrivent par cinq ans à compter du jour où le titulaire d'un droit a connu ou aurait dû connaître les faits lui permettant de l'exercer</w:t>
      </w:r>
      <w:r>
        <w:rPr>
          <w:rFonts w:ascii="Arial" w:eastAsia="Times New Roman" w:hAnsi="Arial" w:cs="Arial"/>
          <w:color w:val="000000"/>
          <w:sz w:val="19"/>
          <w:szCs w:val="19"/>
          <w:lang w:eastAsia="fr-FR"/>
        </w:rPr>
        <w:t> »</w:t>
      </w:r>
      <w:r w:rsidR="00416A83" w:rsidRPr="00416A83">
        <w:rPr>
          <w:rFonts w:ascii="Arial" w:eastAsia="Times New Roman" w:hAnsi="Arial" w:cs="Arial"/>
          <w:color w:val="000000"/>
          <w:sz w:val="19"/>
          <w:szCs w:val="19"/>
          <w:lang w:eastAsia="fr-FR"/>
        </w:rPr>
        <w:t>.</w:t>
      </w:r>
    </w:p>
    <w:p w:rsidR="00416A83" w:rsidRDefault="00416A83"/>
    <w:sectPr w:rsidR="00416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sDel="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83"/>
    <w:rsid w:val="00164729"/>
    <w:rsid w:val="00416A83"/>
    <w:rsid w:val="009833E8"/>
    <w:rsid w:val="00B87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16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416A83"/>
    <w:rPr>
      <w:color w:val="0000FF"/>
      <w:u w:val="single"/>
    </w:rPr>
  </w:style>
  <w:style w:type="character" w:customStyle="1" w:styleId="liensartnonresolu">
    <w:name w:val="liensartnonresolu"/>
    <w:basedOn w:val="Policepardfaut"/>
    <w:rsid w:val="00416A83"/>
  </w:style>
  <w:style w:type="paragraph" w:styleId="NormalWeb">
    <w:name w:val="Normal (Web)"/>
    <w:basedOn w:val="Normal"/>
    <w:uiPriority w:val="99"/>
    <w:semiHidden/>
    <w:unhideWhenUsed/>
    <w:rsid w:val="00416A8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16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416A83"/>
    <w:rPr>
      <w:color w:val="0000FF"/>
      <w:u w:val="single"/>
    </w:rPr>
  </w:style>
  <w:style w:type="character" w:customStyle="1" w:styleId="liensartnonresolu">
    <w:name w:val="liensartnonresolu"/>
    <w:basedOn w:val="Policepardfaut"/>
    <w:rsid w:val="00416A83"/>
  </w:style>
  <w:style w:type="paragraph" w:styleId="NormalWeb">
    <w:name w:val="Normal (Web)"/>
    <w:basedOn w:val="Normal"/>
    <w:uiPriority w:val="99"/>
    <w:semiHidden/>
    <w:unhideWhenUsed/>
    <w:rsid w:val="00416A8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6574">
      <w:bodyDiv w:val="1"/>
      <w:marLeft w:val="0"/>
      <w:marRight w:val="0"/>
      <w:marTop w:val="0"/>
      <w:marBottom w:val="0"/>
      <w:divBdr>
        <w:top w:val="none" w:sz="0" w:space="0" w:color="auto"/>
        <w:left w:val="none" w:sz="0" w:space="0" w:color="auto"/>
        <w:bottom w:val="none" w:sz="0" w:space="0" w:color="auto"/>
        <w:right w:val="none" w:sz="0" w:space="0" w:color="auto"/>
      </w:divBdr>
      <w:divsChild>
        <w:div w:id="1853520608">
          <w:marLeft w:val="0"/>
          <w:marRight w:val="0"/>
          <w:marTop w:val="0"/>
          <w:marBottom w:val="150"/>
          <w:divBdr>
            <w:top w:val="none" w:sz="0" w:space="0" w:color="auto"/>
            <w:left w:val="none" w:sz="0" w:space="0" w:color="auto"/>
            <w:bottom w:val="none" w:sz="0" w:space="0" w:color="auto"/>
            <w:right w:val="none" w:sz="0" w:space="0" w:color="auto"/>
          </w:divBdr>
        </w:div>
        <w:div w:id="259608822">
          <w:marLeft w:val="0"/>
          <w:marRight w:val="0"/>
          <w:marTop w:val="150"/>
          <w:marBottom w:val="0"/>
          <w:divBdr>
            <w:top w:val="none" w:sz="0" w:space="0" w:color="auto"/>
            <w:left w:val="none" w:sz="0" w:space="0" w:color="auto"/>
            <w:bottom w:val="none" w:sz="0" w:space="0" w:color="auto"/>
            <w:right w:val="none" w:sz="0" w:space="0" w:color="auto"/>
          </w:divBdr>
        </w:div>
      </w:divsChild>
    </w:div>
    <w:div w:id="202136213">
      <w:bodyDiv w:val="1"/>
      <w:marLeft w:val="0"/>
      <w:marRight w:val="0"/>
      <w:marTop w:val="0"/>
      <w:marBottom w:val="0"/>
      <w:divBdr>
        <w:top w:val="none" w:sz="0" w:space="0" w:color="auto"/>
        <w:left w:val="none" w:sz="0" w:space="0" w:color="auto"/>
        <w:bottom w:val="none" w:sz="0" w:space="0" w:color="auto"/>
        <w:right w:val="none" w:sz="0" w:space="0" w:color="auto"/>
      </w:divBdr>
      <w:divsChild>
        <w:div w:id="196433939">
          <w:marLeft w:val="0"/>
          <w:marRight w:val="0"/>
          <w:marTop w:val="0"/>
          <w:marBottom w:val="150"/>
          <w:divBdr>
            <w:top w:val="none" w:sz="0" w:space="0" w:color="auto"/>
            <w:left w:val="none" w:sz="0" w:space="0" w:color="auto"/>
            <w:bottom w:val="none" w:sz="0" w:space="0" w:color="auto"/>
            <w:right w:val="none" w:sz="0" w:space="0" w:color="auto"/>
          </w:divBdr>
        </w:div>
        <w:div w:id="1808932282">
          <w:marLeft w:val="0"/>
          <w:marRight w:val="0"/>
          <w:marTop w:val="150"/>
          <w:marBottom w:val="0"/>
          <w:divBdr>
            <w:top w:val="none" w:sz="0" w:space="0" w:color="auto"/>
            <w:left w:val="none" w:sz="0" w:space="0" w:color="auto"/>
            <w:bottom w:val="none" w:sz="0" w:space="0" w:color="auto"/>
            <w:right w:val="none" w:sz="0" w:space="0" w:color="auto"/>
          </w:divBdr>
        </w:div>
      </w:divsChild>
    </w:div>
    <w:div w:id="1313874340">
      <w:bodyDiv w:val="1"/>
      <w:marLeft w:val="0"/>
      <w:marRight w:val="0"/>
      <w:marTop w:val="0"/>
      <w:marBottom w:val="0"/>
      <w:divBdr>
        <w:top w:val="none" w:sz="0" w:space="0" w:color="auto"/>
        <w:left w:val="none" w:sz="0" w:space="0" w:color="auto"/>
        <w:bottom w:val="none" w:sz="0" w:space="0" w:color="auto"/>
        <w:right w:val="none" w:sz="0" w:space="0" w:color="auto"/>
      </w:divBdr>
      <w:divsChild>
        <w:div w:id="2139714195">
          <w:marLeft w:val="0"/>
          <w:marRight w:val="0"/>
          <w:marTop w:val="525"/>
          <w:marBottom w:val="525"/>
          <w:divBdr>
            <w:top w:val="none" w:sz="0" w:space="0" w:color="auto"/>
            <w:left w:val="none" w:sz="0" w:space="0" w:color="auto"/>
            <w:bottom w:val="none" w:sz="0" w:space="0" w:color="auto"/>
            <w:right w:val="none" w:sz="0" w:space="0" w:color="auto"/>
          </w:divBdr>
          <w:divsChild>
            <w:div w:id="1369377904">
              <w:marLeft w:val="0"/>
              <w:marRight w:val="0"/>
              <w:marTop w:val="0"/>
              <w:marBottom w:val="150"/>
              <w:divBdr>
                <w:top w:val="none" w:sz="0" w:space="0" w:color="auto"/>
                <w:left w:val="none" w:sz="0" w:space="0" w:color="auto"/>
                <w:bottom w:val="none" w:sz="0" w:space="0" w:color="auto"/>
                <w:right w:val="none" w:sz="0" w:space="0" w:color="auto"/>
              </w:divBdr>
            </w:div>
            <w:div w:id="600114416">
              <w:marLeft w:val="0"/>
              <w:marRight w:val="0"/>
              <w:marTop w:val="150"/>
              <w:marBottom w:val="0"/>
              <w:divBdr>
                <w:top w:val="none" w:sz="0" w:space="0" w:color="auto"/>
                <w:left w:val="none" w:sz="0" w:space="0" w:color="auto"/>
                <w:bottom w:val="none" w:sz="0" w:space="0" w:color="auto"/>
                <w:right w:val="none" w:sz="0" w:space="0" w:color="auto"/>
              </w:divBdr>
            </w:div>
          </w:divsChild>
        </w:div>
        <w:div w:id="109514154">
          <w:marLeft w:val="0"/>
          <w:marRight w:val="0"/>
          <w:marTop w:val="525"/>
          <w:marBottom w:val="525"/>
          <w:divBdr>
            <w:top w:val="none" w:sz="0" w:space="0" w:color="auto"/>
            <w:left w:val="none" w:sz="0" w:space="0" w:color="auto"/>
            <w:bottom w:val="none" w:sz="0" w:space="0" w:color="auto"/>
            <w:right w:val="none" w:sz="0" w:space="0" w:color="auto"/>
          </w:divBdr>
          <w:divsChild>
            <w:div w:id="390614902">
              <w:marLeft w:val="0"/>
              <w:marRight w:val="0"/>
              <w:marTop w:val="0"/>
              <w:marBottom w:val="150"/>
              <w:divBdr>
                <w:top w:val="none" w:sz="0" w:space="0" w:color="auto"/>
                <w:left w:val="none" w:sz="0" w:space="0" w:color="auto"/>
                <w:bottom w:val="none" w:sz="0" w:space="0" w:color="auto"/>
                <w:right w:val="none" w:sz="0" w:space="0" w:color="auto"/>
              </w:divBdr>
            </w:div>
            <w:div w:id="2075008209">
              <w:marLeft w:val="0"/>
              <w:marRight w:val="0"/>
              <w:marTop w:val="150"/>
              <w:marBottom w:val="0"/>
              <w:divBdr>
                <w:top w:val="none" w:sz="0" w:space="0" w:color="auto"/>
                <w:left w:val="none" w:sz="0" w:space="0" w:color="auto"/>
                <w:bottom w:val="none" w:sz="0" w:space="0" w:color="auto"/>
                <w:right w:val="none" w:sz="0" w:space="0" w:color="auto"/>
              </w:divBdr>
            </w:div>
          </w:divsChild>
        </w:div>
        <w:div w:id="860167993">
          <w:marLeft w:val="0"/>
          <w:marRight w:val="0"/>
          <w:marTop w:val="525"/>
          <w:marBottom w:val="525"/>
          <w:divBdr>
            <w:top w:val="none" w:sz="0" w:space="0" w:color="auto"/>
            <w:left w:val="none" w:sz="0" w:space="0" w:color="auto"/>
            <w:bottom w:val="none" w:sz="0" w:space="0" w:color="auto"/>
            <w:right w:val="none" w:sz="0" w:space="0" w:color="auto"/>
          </w:divBdr>
        </w:div>
      </w:divsChild>
    </w:div>
    <w:div w:id="1544057331">
      <w:bodyDiv w:val="1"/>
      <w:marLeft w:val="0"/>
      <w:marRight w:val="0"/>
      <w:marTop w:val="0"/>
      <w:marBottom w:val="0"/>
      <w:divBdr>
        <w:top w:val="none" w:sz="0" w:space="0" w:color="auto"/>
        <w:left w:val="none" w:sz="0" w:space="0" w:color="auto"/>
        <w:bottom w:val="none" w:sz="0" w:space="0" w:color="auto"/>
        <w:right w:val="none" w:sz="0" w:space="0" w:color="auto"/>
      </w:divBdr>
      <w:divsChild>
        <w:div w:id="1436752884">
          <w:marLeft w:val="0"/>
          <w:marRight w:val="0"/>
          <w:marTop w:val="0"/>
          <w:marBottom w:val="150"/>
          <w:divBdr>
            <w:top w:val="none" w:sz="0" w:space="0" w:color="auto"/>
            <w:left w:val="none" w:sz="0" w:space="0" w:color="auto"/>
            <w:bottom w:val="none" w:sz="0" w:space="0" w:color="auto"/>
            <w:right w:val="none" w:sz="0" w:space="0" w:color="auto"/>
          </w:divBdr>
        </w:div>
        <w:div w:id="2100061035">
          <w:marLeft w:val="0"/>
          <w:marRight w:val="0"/>
          <w:marTop w:val="0"/>
          <w:marBottom w:val="150"/>
          <w:divBdr>
            <w:top w:val="none" w:sz="0" w:space="0" w:color="auto"/>
            <w:left w:val="none" w:sz="0" w:space="0" w:color="auto"/>
            <w:bottom w:val="none" w:sz="0" w:space="0" w:color="auto"/>
            <w:right w:val="none" w:sz="0" w:space="0" w:color="auto"/>
          </w:divBdr>
        </w:div>
        <w:div w:id="705371816">
          <w:marLeft w:val="0"/>
          <w:marRight w:val="0"/>
          <w:marTop w:val="0"/>
          <w:marBottom w:val="150"/>
          <w:divBdr>
            <w:top w:val="none" w:sz="0" w:space="0" w:color="auto"/>
            <w:left w:val="none" w:sz="0" w:space="0" w:color="auto"/>
            <w:bottom w:val="none" w:sz="0" w:space="0" w:color="auto"/>
            <w:right w:val="none" w:sz="0" w:space="0" w:color="auto"/>
          </w:divBdr>
        </w:div>
        <w:div w:id="478890309">
          <w:marLeft w:val="0"/>
          <w:marRight w:val="0"/>
          <w:marTop w:val="0"/>
          <w:marBottom w:val="150"/>
          <w:divBdr>
            <w:top w:val="none" w:sz="0" w:space="0" w:color="auto"/>
            <w:left w:val="none" w:sz="0" w:space="0" w:color="auto"/>
            <w:bottom w:val="none" w:sz="0" w:space="0" w:color="auto"/>
            <w:right w:val="none" w:sz="0" w:space="0" w:color="auto"/>
          </w:divBdr>
        </w:div>
        <w:div w:id="18861351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affichTexteArticle.do;jsessionid=519224B5F966A054099C34E2809E6AE6.tplgfr41s_2?cidTexte=JORFTEXT000019013696&amp;idArticle=LEGIARTI000019014273&amp;dateTexte=2008061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2092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Heugas</dc:creator>
  <cp:lastModifiedBy>Heugas</cp:lastModifiedBy>
  <cp:revision>1</cp:revision>
  <dcterms:created xsi:type="dcterms:W3CDTF">2020-02-13T17:19:00Z</dcterms:created>
  <dcterms:modified xsi:type="dcterms:W3CDTF">2020-02-13T17:33:00Z</dcterms:modified>
</cp:coreProperties>
</file>