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E32A2C" w:rsidRPr="00114EBF" w:rsidTr="00E32A2C">
        <w:tc>
          <w:tcPr>
            <w:tcW w:w="9212" w:type="dxa"/>
          </w:tcPr>
          <w:p w:rsidR="00E32A2C" w:rsidRPr="00114EBF" w:rsidRDefault="00E32A2C" w:rsidP="001E3469">
            <w:pPr>
              <w:jc w:val="center"/>
              <w:rPr>
                <w:rFonts w:ascii="Arial" w:eastAsia="Times New Roman" w:hAnsi="Arial" w:cs="Arial"/>
                <w:color w:val="000000"/>
                <w:sz w:val="23"/>
                <w:szCs w:val="23"/>
                <w:lang w:eastAsia="fr-FR"/>
              </w:rPr>
            </w:pPr>
            <w:r w:rsidRPr="00114EBF">
              <w:rPr>
                <w:rFonts w:ascii="Arial" w:eastAsia="Times New Roman" w:hAnsi="Arial" w:cs="Arial"/>
                <w:b/>
                <w:bCs/>
                <w:color w:val="000000"/>
                <w:sz w:val="23"/>
                <w:szCs w:val="23"/>
                <w:lang w:eastAsia="fr-FR"/>
              </w:rPr>
              <w:t xml:space="preserve">Loi n° 71-498 du 29 juin 1971 </w:t>
            </w:r>
            <w:r w:rsidR="00114EBF">
              <w:rPr>
                <w:rFonts w:ascii="Arial" w:eastAsia="Times New Roman" w:hAnsi="Arial" w:cs="Arial"/>
                <w:b/>
                <w:bCs/>
                <w:color w:val="000000"/>
                <w:sz w:val="23"/>
                <w:szCs w:val="23"/>
                <w:lang w:eastAsia="fr-FR"/>
              </w:rPr>
              <w:t>modifiée par les lois des</w:t>
            </w:r>
            <w:r w:rsidRPr="00114EBF">
              <w:rPr>
                <w:rFonts w:ascii="Arial" w:eastAsia="Times New Roman" w:hAnsi="Arial" w:cs="Arial"/>
                <w:b/>
                <w:bCs/>
                <w:color w:val="000000"/>
                <w:sz w:val="23"/>
                <w:szCs w:val="23"/>
                <w:lang w:eastAsia="fr-FR"/>
              </w:rPr>
              <w:t xml:space="preserve"> 11 février 2004, </w:t>
            </w:r>
            <w:r w:rsidR="00114EBF" w:rsidRPr="00114EBF">
              <w:rPr>
                <w:rFonts w:ascii="Arial" w:eastAsia="Times New Roman" w:hAnsi="Arial" w:cs="Arial"/>
                <w:b/>
                <w:bCs/>
                <w:color w:val="000000"/>
                <w:sz w:val="23"/>
                <w:szCs w:val="23"/>
                <w:lang w:eastAsia="fr-FR"/>
              </w:rPr>
              <w:t>17 juin 2008, 22 décembre 2010, 27 mars 2012 et 18 novembre 2016</w:t>
            </w:r>
            <w:r w:rsidR="001A5D53">
              <w:rPr>
                <w:rFonts w:ascii="Arial" w:eastAsia="Times New Roman" w:hAnsi="Arial" w:cs="Arial"/>
                <w:b/>
                <w:bCs/>
                <w:color w:val="000000"/>
                <w:sz w:val="23"/>
                <w:szCs w:val="23"/>
                <w:lang w:eastAsia="fr-FR"/>
              </w:rPr>
              <w:t>*</w:t>
            </w:r>
          </w:p>
        </w:tc>
      </w:tr>
    </w:tbl>
    <w:p w:rsidR="00F2143A" w:rsidRPr="00F2143A" w:rsidRDefault="00F2143A" w:rsidP="00BC475B">
      <w:pPr>
        <w:shd w:val="clear" w:color="auto" w:fill="FFFFFF"/>
        <w:spacing w:line="240" w:lineRule="auto"/>
        <w:rPr>
          <w:rFonts w:ascii="Arial" w:eastAsia="Times New Roman" w:hAnsi="Arial" w:cs="Arial"/>
          <w:color w:val="000000"/>
          <w:sz w:val="23"/>
          <w:szCs w:val="23"/>
          <w:lang w:eastAsia="fr-FR"/>
        </w:rPr>
      </w:pPr>
    </w:p>
    <w:p w:rsidR="00F2143A" w:rsidRPr="00114EBF" w:rsidRDefault="00114EBF" w:rsidP="00114EBF">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0" w:name="LEGIARTI000006492472"/>
      <w:bookmarkStart w:id="1" w:name="LEGIARTI000006492473"/>
      <w:bookmarkEnd w:id="0"/>
      <w:bookmarkEnd w:id="1"/>
      <w:r w:rsidRPr="00114EBF">
        <w:rPr>
          <w:rFonts w:ascii="Arial" w:eastAsia="Times New Roman" w:hAnsi="Arial" w:cs="Arial"/>
          <w:b/>
          <w:bCs/>
          <w:color w:val="000000"/>
          <w:sz w:val="23"/>
          <w:szCs w:val="23"/>
          <w:u w:val="single"/>
          <w:lang w:eastAsia="fr-FR"/>
        </w:rPr>
        <w:t>Article 1</w:t>
      </w:r>
    </w:p>
    <w:p w:rsidR="00F2143A" w:rsidRPr="00BC475B" w:rsidRDefault="00F2143A" w:rsidP="00114EBF">
      <w:pPr>
        <w:shd w:val="clear" w:color="auto" w:fill="FFFFFF"/>
        <w:spacing w:before="100" w:beforeAutospacing="1" w:after="100" w:afterAutospacing="1" w:line="240" w:lineRule="auto"/>
        <w:rPr>
          <w:rFonts w:ascii="Arial" w:eastAsia="Times New Roman" w:hAnsi="Arial" w:cs="Arial"/>
          <w:i/>
          <w:color w:val="000000"/>
          <w:sz w:val="19"/>
          <w:szCs w:val="19"/>
          <w:lang w:eastAsia="fr-FR"/>
        </w:rPr>
      </w:pPr>
      <w:r w:rsidRPr="00BC475B">
        <w:rPr>
          <w:rFonts w:ascii="Arial" w:eastAsia="Times New Roman" w:hAnsi="Arial" w:cs="Arial"/>
          <w:i/>
          <w:color w:val="000000"/>
          <w:sz w:val="19"/>
          <w:szCs w:val="19"/>
          <w:lang w:eastAsia="fr-FR"/>
        </w:rPr>
        <w:t>Modifié par </w:t>
      </w:r>
      <w:hyperlink r:id="rId6" w:anchor="LEGIARTI000006910634" w:history="1">
        <w:r w:rsidR="00114EBF" w:rsidRPr="00BC475B">
          <w:rPr>
            <w:rFonts w:ascii="Arial" w:eastAsia="Times New Roman" w:hAnsi="Arial" w:cs="Arial"/>
            <w:i/>
            <w:sz w:val="19"/>
            <w:szCs w:val="19"/>
            <w:lang w:eastAsia="fr-FR"/>
          </w:rPr>
          <w:t>la l</w:t>
        </w:r>
        <w:r w:rsidRPr="00BC475B">
          <w:rPr>
            <w:rFonts w:ascii="Arial" w:eastAsia="Times New Roman" w:hAnsi="Arial" w:cs="Arial"/>
            <w:i/>
            <w:sz w:val="19"/>
            <w:szCs w:val="19"/>
            <w:lang w:eastAsia="fr-FR"/>
          </w:rPr>
          <w:t>oi n°2004-</w:t>
        </w:r>
        <w:r w:rsidR="007E33B5" w:rsidRPr="00BC475B">
          <w:rPr>
            <w:rFonts w:ascii="Arial" w:eastAsia="Times New Roman" w:hAnsi="Arial" w:cs="Arial"/>
            <w:i/>
            <w:sz w:val="19"/>
            <w:szCs w:val="19"/>
            <w:lang w:eastAsia="fr-FR"/>
          </w:rPr>
          <w:t>130 du 11 février 2004</w:t>
        </w:r>
        <w:r w:rsidRPr="00BC475B">
          <w:rPr>
            <w:rFonts w:ascii="Arial" w:eastAsia="Times New Roman" w:hAnsi="Arial" w:cs="Arial"/>
            <w:i/>
            <w:sz w:val="19"/>
            <w:szCs w:val="19"/>
            <w:lang w:eastAsia="fr-FR"/>
          </w:rPr>
          <w:t xml:space="preserve"> </w:t>
        </w:r>
      </w:hyperlink>
    </w:p>
    <w:p w:rsidR="00F2143A" w:rsidRPr="00F2143A" w:rsidRDefault="00F2143A" w:rsidP="00BC475B">
      <w:pPr>
        <w:shd w:val="clear" w:color="auto" w:fill="FFFFFF"/>
        <w:spacing w:before="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Sous les seules restrictions prévues par la loi ou les règlements, les juges peuvent désigner pour procéder à des constatations, leur fournir une consultation ou réaliser une expertise, une personne figurant sur l'une des listes établies en application de l'article 2. Ils peuvent, le cas échéant, désigner toute autre personne de leur choix.</w:t>
      </w:r>
    </w:p>
    <w:p w:rsidR="00F2143A" w:rsidRPr="00114EBF" w:rsidRDefault="00F2143A" w:rsidP="00114EBF">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2" w:name="LEGIARTI000006492474"/>
      <w:bookmarkStart w:id="3" w:name="LEGIARTI000006492475"/>
      <w:bookmarkStart w:id="4" w:name="LEGIARTI000023276668"/>
      <w:bookmarkStart w:id="5" w:name="LEGIARTI000025585773"/>
      <w:bookmarkStart w:id="6" w:name="LEGIARTI000033459395"/>
      <w:bookmarkEnd w:id="2"/>
      <w:bookmarkEnd w:id="3"/>
      <w:bookmarkEnd w:id="4"/>
      <w:bookmarkEnd w:id="5"/>
      <w:bookmarkEnd w:id="6"/>
      <w:r w:rsidRPr="00114EBF">
        <w:rPr>
          <w:rFonts w:ascii="Arial" w:eastAsia="Times New Roman" w:hAnsi="Arial" w:cs="Arial"/>
          <w:b/>
          <w:bCs/>
          <w:color w:val="000000"/>
          <w:sz w:val="23"/>
          <w:szCs w:val="23"/>
          <w:u w:val="single"/>
          <w:lang w:eastAsia="fr-FR"/>
        </w:rPr>
        <w:t>Article 2 </w:t>
      </w:r>
    </w:p>
    <w:p w:rsidR="00F2143A" w:rsidRPr="00BC475B" w:rsidRDefault="00F2143A" w:rsidP="007E33B5">
      <w:pPr>
        <w:shd w:val="clear" w:color="auto" w:fill="FFFFFF"/>
        <w:spacing w:before="100" w:beforeAutospacing="1" w:after="100" w:afterAutospacing="1" w:line="240" w:lineRule="auto"/>
        <w:rPr>
          <w:rFonts w:ascii="Arial" w:eastAsia="Times New Roman" w:hAnsi="Arial" w:cs="Arial"/>
          <w:i/>
          <w:color w:val="000000"/>
          <w:sz w:val="19"/>
          <w:szCs w:val="19"/>
          <w:lang w:eastAsia="fr-FR"/>
        </w:rPr>
      </w:pPr>
      <w:r w:rsidRPr="00BC475B">
        <w:rPr>
          <w:rFonts w:ascii="Arial" w:eastAsia="Times New Roman" w:hAnsi="Arial" w:cs="Arial"/>
          <w:i/>
          <w:color w:val="000000"/>
          <w:sz w:val="19"/>
          <w:szCs w:val="19"/>
          <w:lang w:eastAsia="fr-FR"/>
        </w:rPr>
        <w:t>Modifié par</w:t>
      </w:r>
      <w:r w:rsidR="00114EBF" w:rsidRPr="00BC475B">
        <w:rPr>
          <w:rFonts w:ascii="Arial" w:eastAsia="Times New Roman" w:hAnsi="Arial" w:cs="Arial"/>
          <w:i/>
          <w:color w:val="000000"/>
          <w:sz w:val="19"/>
          <w:szCs w:val="19"/>
          <w:lang w:eastAsia="fr-FR"/>
        </w:rPr>
        <w:t xml:space="preserve"> les lois </w:t>
      </w:r>
      <w:r w:rsidR="007E33B5" w:rsidRPr="00BC475B">
        <w:rPr>
          <w:rFonts w:ascii="Arial" w:eastAsia="Times New Roman" w:hAnsi="Arial" w:cs="Arial"/>
          <w:i/>
          <w:color w:val="000000"/>
          <w:sz w:val="19"/>
          <w:szCs w:val="19"/>
          <w:lang w:eastAsia="fr-FR"/>
        </w:rPr>
        <w:t xml:space="preserve">n° 2010-1609 </w:t>
      </w:r>
      <w:r w:rsidR="00114EBF" w:rsidRPr="00BC475B">
        <w:rPr>
          <w:rFonts w:ascii="Arial" w:eastAsia="Times New Roman" w:hAnsi="Arial" w:cs="Arial"/>
          <w:i/>
          <w:color w:val="000000"/>
          <w:sz w:val="19"/>
          <w:szCs w:val="19"/>
          <w:lang w:eastAsia="fr-FR"/>
        </w:rPr>
        <w:t xml:space="preserve">du 22 décembre 2010, </w:t>
      </w:r>
      <w:r w:rsidR="007E33B5" w:rsidRPr="00BC475B">
        <w:rPr>
          <w:rFonts w:ascii="Arial" w:eastAsia="Times New Roman" w:hAnsi="Arial" w:cs="Arial"/>
          <w:i/>
          <w:color w:val="000000"/>
          <w:sz w:val="19"/>
          <w:szCs w:val="19"/>
          <w:lang w:eastAsia="fr-FR"/>
        </w:rPr>
        <w:t xml:space="preserve">n° 2012-403 </w:t>
      </w:r>
      <w:r w:rsidR="00114EBF" w:rsidRPr="00BC475B">
        <w:rPr>
          <w:rFonts w:ascii="Arial" w:eastAsia="Times New Roman" w:hAnsi="Arial" w:cs="Arial"/>
          <w:i/>
          <w:color w:val="000000"/>
          <w:sz w:val="19"/>
          <w:szCs w:val="19"/>
          <w:lang w:eastAsia="fr-FR"/>
        </w:rPr>
        <w:t xml:space="preserve">du 27 mars 2012 et </w:t>
      </w:r>
      <w:r w:rsidR="007E33B5" w:rsidRPr="00BC475B">
        <w:rPr>
          <w:rFonts w:ascii="Arial" w:eastAsia="Times New Roman" w:hAnsi="Arial" w:cs="Arial"/>
          <w:i/>
          <w:color w:val="000000"/>
          <w:sz w:val="19"/>
          <w:szCs w:val="19"/>
          <w:lang w:eastAsia="fr-FR"/>
        </w:rPr>
        <w:t xml:space="preserve">n° 2016-1547 </w:t>
      </w:r>
      <w:r w:rsidR="00114EBF" w:rsidRPr="00BC475B">
        <w:rPr>
          <w:rFonts w:ascii="Arial" w:eastAsia="Times New Roman" w:hAnsi="Arial" w:cs="Arial"/>
          <w:i/>
          <w:color w:val="000000"/>
          <w:sz w:val="19"/>
          <w:szCs w:val="19"/>
          <w:lang w:eastAsia="fr-FR"/>
        </w:rPr>
        <w:t xml:space="preserve">du </w:t>
      </w:r>
      <w:r w:rsidR="00114EBF" w:rsidRPr="00BC475B">
        <w:rPr>
          <w:rFonts w:ascii="Arial" w:eastAsia="Times New Roman" w:hAnsi="Arial" w:cs="Arial"/>
          <w:i/>
          <w:sz w:val="19"/>
          <w:szCs w:val="19"/>
          <w:lang w:eastAsia="fr-FR"/>
        </w:rPr>
        <w:t xml:space="preserve"> 18 novembre 2016</w:t>
      </w:r>
    </w:p>
    <w:p w:rsidR="00F2143A" w:rsidRPr="00F2143A" w:rsidRDefault="00F2143A" w:rsidP="00F2143A">
      <w:pPr>
        <w:shd w:val="clear" w:color="auto" w:fill="FFFFFF"/>
        <w:spacing w:before="180" w:after="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I. - Il est établi pour l'information des juges :</w:t>
      </w:r>
    </w:p>
    <w:p w:rsidR="00F2143A" w:rsidRPr="00F2143A" w:rsidRDefault="00F2143A" w:rsidP="00F2143A">
      <w:pPr>
        <w:shd w:val="clear" w:color="auto" w:fill="FFFFFF"/>
        <w:spacing w:before="180" w:after="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1° Une liste nationale des experts judiciaires, dressée par le bureau de la Cour de cassation ;</w:t>
      </w:r>
    </w:p>
    <w:p w:rsidR="00F2143A" w:rsidRPr="00F2143A" w:rsidRDefault="00F2143A" w:rsidP="00F2143A">
      <w:pPr>
        <w:shd w:val="clear" w:color="auto" w:fill="FFFFFF"/>
        <w:spacing w:before="180" w:after="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2° Une liste des experts judiciaires dressée par chaque cour d'appel.</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II. - L'inscription initiale en qualité d'expert sur la liste dressée par la cour d'appel est faite, dans une rubrique particulière, à titre probatoire pour une durée de trois ans.</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A l'issue de cette période probatoire et sur présentation d'une nouvelle candidature, l'expert peut être réinscrit pour une durée de cinq années, après avis motivé d'une commission associant des représentants des juridictions et des experts. A cette fin sont évaluées l'expérience de l'intéressé et la connaissance qu'il a acquise des principes directeurs du procès et des règles de procédure applicables aux mesures d'instruction confiées à un technicien.</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Les réinscriptions ultérieures, pour une durée de cinq années, sont soumises à l'examen d'une nouvelle candidature dans les conditions prévues à l'alinéa précédent.</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III. - Nul ne peut figurer sur la liste nationale des experts judiciaires s'il ne justifie soit de son inscription sur une liste dressée par une cour d'appel depuis au moins cinq ans, soit de compétences reconnues dans un Etat membre de l'Union européenne autre que la France et acquises notamment par l'exercice dans cet Etat, pendant une durée qui ne peut être inférieure à cinq ans, d'activités de nature à apporter des informations techniques aux juridictions dans le cadre de leur activité juridictionnelle.</w:t>
      </w:r>
      <w:r w:rsidRPr="00F2143A">
        <w:rPr>
          <w:rFonts w:ascii="Arial" w:eastAsia="Times New Roman" w:hAnsi="Arial" w:cs="Arial"/>
          <w:color w:val="000000"/>
          <w:sz w:val="19"/>
          <w:szCs w:val="19"/>
          <w:lang w:eastAsia="fr-FR"/>
        </w:rPr>
        <w:br/>
      </w:r>
      <w:r w:rsidRPr="00F2143A">
        <w:rPr>
          <w:rFonts w:ascii="Arial" w:eastAsia="Times New Roman" w:hAnsi="Arial" w:cs="Arial"/>
          <w:color w:val="000000"/>
          <w:sz w:val="19"/>
          <w:szCs w:val="19"/>
          <w:lang w:eastAsia="fr-FR"/>
        </w:rPr>
        <w:br/>
        <w:t>Il est procédé à l'inscription sur la liste nationale pour une durée de sept ans. La réinscription, pour la même durée, est soumise à l'examen d'une nouvelle candidature.</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IV. - La décision de refus d'inscription ou de réinscription sur l'une des listes prévues au I est motivée.</w:t>
      </w:r>
    </w:p>
    <w:p w:rsidR="00F2143A" w:rsidRPr="00F2143A" w:rsidRDefault="00F2143A" w:rsidP="00BC475B">
      <w:pPr>
        <w:shd w:val="clear" w:color="auto" w:fill="FFFFFF"/>
        <w:spacing w:before="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V. - Un décret en Conseil d'Etat fixe les conditions d'application du présent article et détermine la composition et les règles de fonctionnement de la commission prévue au II.</w:t>
      </w:r>
    </w:p>
    <w:p w:rsidR="00F2143A" w:rsidRPr="00114EBF" w:rsidRDefault="00F2143A" w:rsidP="00114EBF">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7" w:name="LEGIARTI000006492476"/>
      <w:bookmarkStart w:id="8" w:name="LEGIARTI000006492477"/>
      <w:bookmarkEnd w:id="7"/>
      <w:bookmarkEnd w:id="8"/>
      <w:r w:rsidRPr="00114EBF">
        <w:rPr>
          <w:rFonts w:ascii="Arial" w:eastAsia="Times New Roman" w:hAnsi="Arial" w:cs="Arial"/>
          <w:b/>
          <w:bCs/>
          <w:color w:val="000000"/>
          <w:sz w:val="23"/>
          <w:szCs w:val="23"/>
          <w:u w:val="single"/>
          <w:lang w:eastAsia="fr-FR"/>
        </w:rPr>
        <w:t>Article 3 </w:t>
      </w:r>
    </w:p>
    <w:p w:rsidR="00F2143A" w:rsidRPr="00BC475B" w:rsidRDefault="00114EBF" w:rsidP="00114EBF">
      <w:pPr>
        <w:shd w:val="clear" w:color="auto" w:fill="FFFFFF"/>
        <w:spacing w:before="100" w:beforeAutospacing="1" w:after="100" w:afterAutospacing="1" w:line="240" w:lineRule="auto"/>
        <w:rPr>
          <w:rFonts w:ascii="Arial" w:eastAsia="Times New Roman" w:hAnsi="Arial" w:cs="Arial"/>
          <w:i/>
          <w:sz w:val="19"/>
          <w:szCs w:val="19"/>
          <w:lang w:eastAsia="fr-FR"/>
        </w:rPr>
      </w:pPr>
      <w:r w:rsidRPr="00BC475B">
        <w:rPr>
          <w:rFonts w:ascii="Arial" w:eastAsia="Times New Roman" w:hAnsi="Arial" w:cs="Arial"/>
          <w:i/>
          <w:color w:val="000000"/>
          <w:sz w:val="19"/>
          <w:szCs w:val="19"/>
          <w:lang w:eastAsia="fr-FR"/>
        </w:rPr>
        <w:t xml:space="preserve">Modifié par </w:t>
      </w:r>
      <w:r w:rsidRPr="00BC475B">
        <w:rPr>
          <w:rFonts w:ascii="Arial" w:eastAsia="Times New Roman" w:hAnsi="Arial" w:cs="Arial"/>
          <w:i/>
          <w:sz w:val="19"/>
          <w:szCs w:val="19"/>
          <w:lang w:eastAsia="fr-FR"/>
        </w:rPr>
        <w:t>la l</w:t>
      </w:r>
      <w:r w:rsidR="00F2143A" w:rsidRPr="00BC475B">
        <w:rPr>
          <w:rFonts w:ascii="Arial" w:eastAsia="Times New Roman" w:hAnsi="Arial" w:cs="Arial"/>
          <w:i/>
          <w:sz w:val="19"/>
          <w:szCs w:val="19"/>
          <w:lang w:eastAsia="fr-FR"/>
        </w:rPr>
        <w:t>oi n°</w:t>
      </w:r>
      <w:r w:rsidR="007E33B5" w:rsidRPr="00BC475B">
        <w:rPr>
          <w:rFonts w:ascii="Arial" w:eastAsia="Times New Roman" w:hAnsi="Arial" w:cs="Arial"/>
          <w:i/>
          <w:sz w:val="19"/>
          <w:szCs w:val="19"/>
          <w:lang w:eastAsia="fr-FR"/>
        </w:rPr>
        <w:t xml:space="preserve"> </w:t>
      </w:r>
      <w:r w:rsidR="00F2143A" w:rsidRPr="00BC475B">
        <w:rPr>
          <w:rFonts w:ascii="Arial" w:eastAsia="Times New Roman" w:hAnsi="Arial" w:cs="Arial"/>
          <w:i/>
          <w:sz w:val="19"/>
          <w:szCs w:val="19"/>
          <w:lang w:eastAsia="fr-FR"/>
        </w:rPr>
        <w:t>2004-130 du 11 février 200</w:t>
      </w:r>
      <w:r w:rsidRPr="00BC475B">
        <w:rPr>
          <w:rFonts w:ascii="Arial" w:eastAsia="Times New Roman" w:hAnsi="Arial" w:cs="Arial"/>
          <w:i/>
          <w:sz w:val="19"/>
          <w:szCs w:val="19"/>
          <w:lang w:eastAsia="fr-FR"/>
        </w:rPr>
        <w:t>4</w:t>
      </w:r>
    </w:p>
    <w:p w:rsidR="001A5D53" w:rsidRDefault="001A5D53" w:rsidP="00114EBF">
      <w:pPr>
        <w:shd w:val="clear" w:color="auto" w:fill="FFFFFF"/>
        <w:spacing w:before="100" w:beforeAutospacing="1" w:after="100" w:afterAutospacing="1" w:line="240" w:lineRule="auto"/>
        <w:rPr>
          <w:rFonts w:ascii="Arial" w:eastAsia="Times New Roman" w:hAnsi="Arial" w:cs="Arial"/>
          <w:sz w:val="19"/>
          <w:szCs w:val="19"/>
          <w:lang w:eastAsia="fr-FR"/>
        </w:rPr>
      </w:pPr>
    </w:p>
    <w:p w:rsidR="001A5D53" w:rsidRPr="001A5D53" w:rsidRDefault="001A5D53" w:rsidP="00BC475B">
      <w:pPr>
        <w:shd w:val="clear" w:color="auto" w:fill="FFFFFF"/>
        <w:spacing w:before="100" w:beforeAutospacing="1" w:after="100" w:afterAutospacing="1" w:line="240" w:lineRule="auto"/>
        <w:jc w:val="both"/>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xml:space="preserve">*Lois ayant trait même pour partie à l’expertise judiciaire, au contraire d’autres lois ou ordonnances mentionnées sous les articles en question concernant indirectement l’expertise comme la responsabilité de l’expert se prescrivant dorénavant </w:t>
      </w:r>
      <w:r w:rsidR="00F767D8">
        <w:rPr>
          <w:rFonts w:ascii="Arial" w:eastAsia="Times New Roman" w:hAnsi="Arial" w:cs="Arial"/>
          <w:color w:val="000000"/>
          <w:sz w:val="19"/>
          <w:szCs w:val="19"/>
          <w:lang w:eastAsia="fr-FR"/>
        </w:rPr>
        <w:t xml:space="preserve">sans spécificité </w:t>
      </w:r>
      <w:r>
        <w:rPr>
          <w:rFonts w:ascii="Arial" w:eastAsia="Times New Roman" w:hAnsi="Arial" w:cs="Arial"/>
          <w:color w:val="000000"/>
          <w:sz w:val="19"/>
          <w:szCs w:val="19"/>
          <w:lang w:eastAsia="fr-FR"/>
        </w:rPr>
        <w:t xml:space="preserve">dans les conditions du droit commun (article 6-3 ci-après).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lastRenderedPageBreak/>
        <w:t>Les personnes inscrites sur l'une des listes instituées par l'article 2 de la présente loi ne peuvent faire état de leur qualité que sous la dénomination : "d'expert agréé par la Cour de cassation" ou "d'expert près la cour d'appel de ...".</w:t>
      </w:r>
    </w:p>
    <w:p w:rsidR="00F2143A" w:rsidRPr="00F2143A" w:rsidRDefault="00F2143A" w:rsidP="00F2143A">
      <w:pPr>
        <w:shd w:val="clear" w:color="auto" w:fill="FFFFFF"/>
        <w:spacing w:before="180" w:after="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La dénomination peut être suivie de l'indication de la spécialité de l'expert.</w:t>
      </w:r>
    </w:p>
    <w:p w:rsidR="00F2143A" w:rsidRPr="00F2143A" w:rsidRDefault="00F2143A" w:rsidP="00F2143A">
      <w:pPr>
        <w:shd w:val="clear" w:color="auto" w:fill="FFFFFF"/>
        <w:spacing w:before="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Les experts admis à l'honorariat pourront continuer à utiliser leur titre, à la condition de le faire suivre par le terme "honoraire".</w:t>
      </w:r>
    </w:p>
    <w:p w:rsidR="00F2143A" w:rsidRPr="001556D9" w:rsidRDefault="00F2143A" w:rsidP="001556D9">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9" w:name="LEGIARTI000006492478"/>
      <w:bookmarkStart w:id="10" w:name="LEGIARTI000023276670"/>
      <w:bookmarkEnd w:id="9"/>
      <w:bookmarkEnd w:id="10"/>
      <w:r w:rsidRPr="001556D9">
        <w:rPr>
          <w:rFonts w:ascii="Arial" w:eastAsia="Times New Roman" w:hAnsi="Arial" w:cs="Arial"/>
          <w:b/>
          <w:bCs/>
          <w:color w:val="000000"/>
          <w:sz w:val="23"/>
          <w:szCs w:val="23"/>
          <w:u w:val="single"/>
          <w:lang w:eastAsia="fr-FR"/>
        </w:rPr>
        <w:t>Article 4 </w:t>
      </w:r>
    </w:p>
    <w:p w:rsidR="00F2143A" w:rsidRPr="00BC475B" w:rsidRDefault="001556D9" w:rsidP="001556D9">
      <w:pPr>
        <w:shd w:val="clear" w:color="auto" w:fill="FFFFFF"/>
        <w:spacing w:before="100" w:beforeAutospacing="1" w:after="100" w:afterAutospacing="1" w:line="240" w:lineRule="auto"/>
        <w:rPr>
          <w:rFonts w:ascii="Arial" w:eastAsia="Times New Roman" w:hAnsi="Arial" w:cs="Arial"/>
          <w:i/>
          <w:color w:val="000000"/>
          <w:sz w:val="19"/>
          <w:szCs w:val="19"/>
          <w:lang w:eastAsia="fr-FR"/>
        </w:rPr>
      </w:pPr>
      <w:r w:rsidRPr="00BC475B">
        <w:rPr>
          <w:rFonts w:ascii="Arial" w:eastAsia="Times New Roman" w:hAnsi="Arial" w:cs="Arial"/>
          <w:i/>
          <w:color w:val="000000"/>
          <w:sz w:val="19"/>
          <w:szCs w:val="19"/>
          <w:lang w:eastAsia="fr-FR"/>
        </w:rPr>
        <w:t xml:space="preserve">Modifié par </w:t>
      </w:r>
      <w:r w:rsidR="003F30B6" w:rsidRPr="00BC475B">
        <w:rPr>
          <w:rFonts w:ascii="Arial" w:eastAsia="Times New Roman" w:hAnsi="Arial" w:cs="Arial"/>
          <w:i/>
          <w:sz w:val="19"/>
          <w:szCs w:val="19"/>
          <w:lang w:eastAsia="fr-FR"/>
        </w:rPr>
        <w:t xml:space="preserve">les lois  n° 92-1336 du 16 décembre 1992 et  </w:t>
      </w:r>
      <w:r w:rsidR="00F2143A" w:rsidRPr="00BC475B">
        <w:rPr>
          <w:rFonts w:ascii="Arial" w:eastAsia="Times New Roman" w:hAnsi="Arial" w:cs="Arial"/>
          <w:i/>
          <w:sz w:val="19"/>
          <w:szCs w:val="19"/>
          <w:lang w:eastAsia="fr-FR"/>
        </w:rPr>
        <w:t xml:space="preserve"> n°</w:t>
      </w:r>
      <w:r w:rsidRPr="00BC475B">
        <w:rPr>
          <w:rFonts w:ascii="Arial" w:eastAsia="Times New Roman" w:hAnsi="Arial" w:cs="Arial"/>
          <w:i/>
          <w:sz w:val="19"/>
          <w:szCs w:val="19"/>
          <w:lang w:eastAsia="fr-FR"/>
        </w:rPr>
        <w:t xml:space="preserve"> </w:t>
      </w:r>
      <w:r w:rsidR="00F2143A" w:rsidRPr="00BC475B">
        <w:rPr>
          <w:rFonts w:ascii="Arial" w:eastAsia="Times New Roman" w:hAnsi="Arial" w:cs="Arial"/>
          <w:i/>
          <w:sz w:val="19"/>
          <w:szCs w:val="19"/>
          <w:lang w:eastAsia="fr-FR"/>
        </w:rPr>
        <w:t>2010-16</w:t>
      </w:r>
      <w:r w:rsidRPr="00BC475B">
        <w:rPr>
          <w:rFonts w:ascii="Arial" w:eastAsia="Times New Roman" w:hAnsi="Arial" w:cs="Arial"/>
          <w:i/>
          <w:sz w:val="19"/>
          <w:szCs w:val="19"/>
          <w:lang w:eastAsia="fr-FR"/>
        </w:rPr>
        <w:t>09 du 22 décembre 2010</w:t>
      </w:r>
      <w:r w:rsidRPr="00BC475B">
        <w:rPr>
          <w:rFonts w:ascii="Arial" w:eastAsia="Times New Roman" w:hAnsi="Arial" w:cs="Arial"/>
          <w:i/>
          <w:sz w:val="19"/>
          <w:szCs w:val="19"/>
          <w:u w:val="single"/>
          <w:lang w:eastAsia="fr-FR"/>
        </w:rPr>
        <w:t xml:space="preserve">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Toute personne, autre que celles mentionnées à l'article 3, qui aura fait usage de l'une des dénominations visées à cet article, sera punie des peines prévues aux articles </w:t>
      </w:r>
      <w:hyperlink r:id="rId7" w:history="1">
        <w:r w:rsidRPr="001556D9">
          <w:rPr>
            <w:rFonts w:ascii="Arial" w:eastAsia="Times New Roman" w:hAnsi="Arial" w:cs="Arial"/>
            <w:sz w:val="19"/>
            <w:szCs w:val="19"/>
            <w:lang w:eastAsia="fr-FR"/>
          </w:rPr>
          <w:t>433-14 </w:t>
        </w:r>
      </w:hyperlink>
      <w:r w:rsidRPr="001556D9">
        <w:rPr>
          <w:rFonts w:ascii="Arial" w:eastAsia="Times New Roman" w:hAnsi="Arial" w:cs="Arial"/>
          <w:sz w:val="19"/>
          <w:szCs w:val="19"/>
          <w:lang w:eastAsia="fr-FR"/>
        </w:rPr>
        <w:t>et </w:t>
      </w:r>
      <w:hyperlink r:id="rId8" w:history="1">
        <w:r w:rsidRPr="001556D9">
          <w:rPr>
            <w:rFonts w:ascii="Arial" w:eastAsia="Times New Roman" w:hAnsi="Arial" w:cs="Arial"/>
            <w:sz w:val="19"/>
            <w:szCs w:val="19"/>
            <w:lang w:eastAsia="fr-FR"/>
          </w:rPr>
          <w:t>433-17</w:t>
        </w:r>
      </w:hyperlink>
      <w:r w:rsidRPr="00F2143A">
        <w:rPr>
          <w:rFonts w:ascii="Arial" w:eastAsia="Times New Roman" w:hAnsi="Arial" w:cs="Arial"/>
          <w:color w:val="000000"/>
          <w:sz w:val="19"/>
          <w:szCs w:val="19"/>
          <w:lang w:eastAsia="fr-FR"/>
        </w:rPr>
        <w:t> du nouveau Code pénal.</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Sera puni des mêmes peines celui qui aura fait usage d'une dénomination présentant une ressemblance de nature à causer une méprise dans l'esprit du public avec les dénominations visées à l'article 3.</w:t>
      </w:r>
    </w:p>
    <w:p w:rsidR="00F2143A" w:rsidRPr="00F2143A" w:rsidRDefault="00F2143A" w:rsidP="00BC475B">
      <w:pPr>
        <w:shd w:val="clear" w:color="auto" w:fill="FFFFFF"/>
        <w:spacing w:before="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Sera puni des mêmes peines l'expert, admis à l'honorariat, qui aura omis de faire suivre son titre par le terme " honoraire ".</w:t>
      </w:r>
    </w:p>
    <w:p w:rsidR="00F2143A" w:rsidRPr="001556D9" w:rsidRDefault="001556D9" w:rsidP="001556D9">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11" w:name="LEGIARTI000028746806"/>
      <w:bookmarkStart w:id="12" w:name="LEGIARTI000006492480"/>
      <w:bookmarkStart w:id="13" w:name="LEGIARTI000023276674"/>
      <w:bookmarkEnd w:id="11"/>
      <w:bookmarkEnd w:id="12"/>
      <w:bookmarkEnd w:id="13"/>
      <w:r>
        <w:rPr>
          <w:rFonts w:ascii="Arial" w:eastAsia="Times New Roman" w:hAnsi="Arial" w:cs="Arial"/>
          <w:b/>
          <w:bCs/>
          <w:color w:val="000000"/>
          <w:sz w:val="23"/>
          <w:szCs w:val="23"/>
          <w:u w:val="single"/>
          <w:lang w:eastAsia="fr-FR"/>
        </w:rPr>
        <w:t>Article 5</w:t>
      </w:r>
    </w:p>
    <w:p w:rsidR="00F2143A" w:rsidRPr="00BC475B" w:rsidRDefault="001556D9" w:rsidP="001556D9">
      <w:pPr>
        <w:shd w:val="clear" w:color="auto" w:fill="FFFFFF"/>
        <w:spacing w:before="100" w:beforeAutospacing="1" w:after="100" w:afterAutospacing="1" w:line="240" w:lineRule="auto"/>
        <w:rPr>
          <w:rFonts w:ascii="Arial" w:eastAsia="Times New Roman" w:hAnsi="Arial" w:cs="Arial"/>
          <w:i/>
          <w:color w:val="000000"/>
          <w:sz w:val="19"/>
          <w:szCs w:val="19"/>
          <w:lang w:eastAsia="fr-FR"/>
        </w:rPr>
      </w:pPr>
      <w:r w:rsidRPr="00BC475B">
        <w:rPr>
          <w:rFonts w:ascii="Arial" w:eastAsia="Times New Roman" w:hAnsi="Arial" w:cs="Arial"/>
          <w:i/>
          <w:color w:val="000000"/>
          <w:sz w:val="19"/>
          <w:szCs w:val="19"/>
          <w:lang w:eastAsia="fr-FR"/>
        </w:rPr>
        <w:t xml:space="preserve">Modifié par </w:t>
      </w:r>
      <w:r w:rsidR="003F30B6" w:rsidRPr="00BC475B">
        <w:rPr>
          <w:rFonts w:ascii="Arial" w:eastAsia="Times New Roman" w:hAnsi="Arial" w:cs="Arial"/>
          <w:i/>
          <w:color w:val="000000"/>
          <w:sz w:val="19"/>
          <w:szCs w:val="19"/>
          <w:lang w:eastAsia="fr-FR"/>
        </w:rPr>
        <w:t xml:space="preserve">la loi </w:t>
      </w:r>
      <w:r w:rsidR="00F2143A" w:rsidRPr="00BC475B">
        <w:rPr>
          <w:rFonts w:ascii="Arial" w:eastAsia="Times New Roman" w:hAnsi="Arial" w:cs="Arial"/>
          <w:i/>
          <w:sz w:val="19"/>
          <w:szCs w:val="19"/>
          <w:lang w:eastAsia="fr-FR"/>
        </w:rPr>
        <w:t>n°</w:t>
      </w:r>
      <w:r w:rsidRPr="00BC475B">
        <w:rPr>
          <w:rFonts w:ascii="Arial" w:eastAsia="Times New Roman" w:hAnsi="Arial" w:cs="Arial"/>
          <w:i/>
          <w:sz w:val="19"/>
          <w:szCs w:val="19"/>
          <w:lang w:eastAsia="fr-FR"/>
        </w:rPr>
        <w:t xml:space="preserve"> </w:t>
      </w:r>
      <w:r w:rsidR="00F2143A" w:rsidRPr="00BC475B">
        <w:rPr>
          <w:rFonts w:ascii="Arial" w:eastAsia="Times New Roman" w:hAnsi="Arial" w:cs="Arial"/>
          <w:i/>
          <w:sz w:val="19"/>
          <w:szCs w:val="19"/>
          <w:lang w:eastAsia="fr-FR"/>
        </w:rPr>
        <w:t>2010-16</w:t>
      </w:r>
      <w:r w:rsidRPr="00BC475B">
        <w:rPr>
          <w:rFonts w:ascii="Arial" w:eastAsia="Times New Roman" w:hAnsi="Arial" w:cs="Arial"/>
          <w:i/>
          <w:sz w:val="19"/>
          <w:szCs w:val="19"/>
          <w:lang w:eastAsia="fr-FR"/>
        </w:rPr>
        <w:t>09 du 22 décembre 2010</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I. - Le retrait d'un expert figurant sur l'une des listes mentionnées au I de l'article 2 peut être décidé, selon le cas, par le premier président de la cour d'appel ou le premier président de la Cour de cassation soit à la demande de l'expert, soit si le retrait est rendu nécessaire par des circonstances telles que l'éloignement prolongé, la maladie ou des infirmités graves et permanentes.</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 premier président de la cour d'appel ou le premier président de la Cour de cassation procède au retrait de l'expert lorsque celui-ci accède à l'honorariat, lorsqu'il ne remplit plus les conditions de résidence ou de lieu d'exercice professionnel exigées pour son inscription ou sa réinscription, ou encore lorsqu'il est frappé de faillite personnelle ou d'une sanction disciplinaire ou administrative faisant obstacle à une inscription ou une réinscription sur une liste d'experts.</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Lorsqu'un expert ne remplit plus les conditions de résidence ou de lieu d'exercice professionnel exigées, le premier président de la cour d'appel peut décider, sur justification par l'expert du dépôt d'une demande d'inscription sur la liste d'une autre cour d'appel, de maintenir l'inscription de l'expert jusqu'à la date de la décision de l'assemblée des magistrats du siège de la cour d'appel statuant sur cette demande.</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II. - La radiation d'un expert figurant sur l'une des listes mentionnées au I de l'article 2 peut être prononcée par l'autorité ayant procédé à l'inscription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1° En cas d'incapacité légale, l'intéressé, le cas échéant assisté d'un avocat, entendu ou appelé à formuler ses observations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2° En cas de faute disciplinaire, en application des dispositions de l'article 6-2.</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La radiation d'un expert de la liste nationale emporte de plein droit sa radiation de la liste de cour d'appel. La radiation d'un expert d'une liste de cour d'appel emporte de plein droit sa radiation de la liste nationale.</w:t>
      </w:r>
    </w:p>
    <w:p w:rsidR="00F2143A" w:rsidRPr="00F2143A" w:rsidRDefault="00F2143A" w:rsidP="00BC475B">
      <w:pPr>
        <w:shd w:val="clear" w:color="auto" w:fill="FFFFFF"/>
        <w:spacing w:before="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Un décret en Conseil d'Etat détermine les conditions dans lesquelles un expert susceptible d'être radié peut être provisoirement suspendu.</w:t>
      </w:r>
    </w:p>
    <w:p w:rsidR="00F2143A" w:rsidRPr="001556D9" w:rsidRDefault="001556D9" w:rsidP="001556D9">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14" w:name="LEGIARTI000006492479"/>
      <w:bookmarkStart w:id="15" w:name="LEGIARTI000006492481"/>
      <w:bookmarkStart w:id="16" w:name="LEGIARTI000006492482"/>
      <w:bookmarkEnd w:id="14"/>
      <w:bookmarkEnd w:id="15"/>
      <w:bookmarkEnd w:id="16"/>
      <w:r w:rsidRPr="001556D9">
        <w:rPr>
          <w:rFonts w:ascii="Arial" w:eastAsia="Times New Roman" w:hAnsi="Arial" w:cs="Arial"/>
          <w:b/>
          <w:bCs/>
          <w:color w:val="000000"/>
          <w:sz w:val="23"/>
          <w:szCs w:val="23"/>
          <w:u w:val="single"/>
          <w:lang w:eastAsia="fr-FR"/>
        </w:rPr>
        <w:t>Article 6</w:t>
      </w:r>
    </w:p>
    <w:p w:rsidR="001556D9" w:rsidRPr="00BC475B" w:rsidRDefault="001556D9" w:rsidP="001556D9">
      <w:pPr>
        <w:shd w:val="clear" w:color="auto" w:fill="FFFFFF"/>
        <w:spacing w:before="100" w:beforeAutospacing="1" w:after="100" w:afterAutospacing="1" w:line="240" w:lineRule="auto"/>
        <w:rPr>
          <w:rFonts w:ascii="Arial" w:eastAsia="Times New Roman" w:hAnsi="Arial" w:cs="Arial"/>
          <w:i/>
          <w:color w:val="000000"/>
          <w:sz w:val="19"/>
          <w:szCs w:val="19"/>
          <w:lang w:eastAsia="fr-FR"/>
        </w:rPr>
      </w:pPr>
      <w:r w:rsidRPr="00BC475B">
        <w:rPr>
          <w:rFonts w:ascii="Arial" w:eastAsia="Times New Roman" w:hAnsi="Arial" w:cs="Arial"/>
          <w:i/>
          <w:color w:val="000000"/>
          <w:sz w:val="19"/>
          <w:szCs w:val="19"/>
          <w:lang w:eastAsia="fr-FR"/>
        </w:rPr>
        <w:t>Modifié par</w:t>
      </w:r>
      <w:r w:rsidRPr="00BC475B">
        <w:rPr>
          <w:rFonts w:ascii="Arial" w:eastAsia="Times New Roman" w:hAnsi="Arial" w:cs="Arial"/>
          <w:i/>
          <w:color w:val="336699"/>
          <w:sz w:val="19"/>
          <w:szCs w:val="19"/>
          <w:u w:val="single"/>
          <w:lang w:eastAsia="fr-FR"/>
        </w:rPr>
        <w:t xml:space="preserve"> </w:t>
      </w:r>
      <w:r w:rsidRPr="00BC475B">
        <w:rPr>
          <w:rFonts w:ascii="Arial" w:eastAsia="Times New Roman" w:hAnsi="Arial" w:cs="Arial"/>
          <w:i/>
          <w:sz w:val="19"/>
          <w:szCs w:val="19"/>
          <w:lang w:eastAsia="fr-FR"/>
        </w:rPr>
        <w:t>la l</w:t>
      </w:r>
      <w:r w:rsidR="00F2143A" w:rsidRPr="00BC475B">
        <w:rPr>
          <w:rFonts w:ascii="Arial" w:eastAsia="Times New Roman" w:hAnsi="Arial" w:cs="Arial"/>
          <w:i/>
          <w:sz w:val="19"/>
          <w:szCs w:val="19"/>
          <w:lang w:eastAsia="fr-FR"/>
        </w:rPr>
        <w:t>oi n°</w:t>
      </w:r>
      <w:r w:rsidRPr="00BC475B">
        <w:rPr>
          <w:rFonts w:ascii="Arial" w:eastAsia="Times New Roman" w:hAnsi="Arial" w:cs="Arial"/>
          <w:i/>
          <w:sz w:val="19"/>
          <w:szCs w:val="19"/>
          <w:lang w:eastAsia="fr-FR"/>
        </w:rPr>
        <w:t xml:space="preserve"> </w:t>
      </w:r>
      <w:r w:rsidR="00F2143A" w:rsidRPr="00BC475B">
        <w:rPr>
          <w:rFonts w:ascii="Arial" w:eastAsia="Times New Roman" w:hAnsi="Arial" w:cs="Arial"/>
          <w:i/>
          <w:sz w:val="19"/>
          <w:szCs w:val="19"/>
          <w:lang w:eastAsia="fr-FR"/>
        </w:rPr>
        <w:t>2004-130 du 11 février 200</w:t>
      </w:r>
      <w:r w:rsidRPr="00BC475B">
        <w:rPr>
          <w:rFonts w:ascii="Arial" w:eastAsia="Times New Roman" w:hAnsi="Arial" w:cs="Arial"/>
          <w:i/>
          <w:sz w:val="19"/>
          <w:szCs w:val="19"/>
          <w:lang w:eastAsia="fr-FR"/>
        </w:rPr>
        <w:t>4</w:t>
      </w:r>
    </w:p>
    <w:p w:rsidR="00F2143A" w:rsidRPr="00F2143A" w:rsidRDefault="00F2143A" w:rsidP="00BC475B">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Lors de leur inscription initiale sur une liste dressée par une cour d'appel, les experts prêtent serment, devant la cour d'appel du lieu où ils demeurent, d'accomplir leur mission, de faire leur rapport et de donner leur avis en leur honneur et conscience.</w:t>
      </w:r>
    </w:p>
    <w:p w:rsidR="00F2143A" w:rsidRPr="00F2143A" w:rsidRDefault="00F2143A" w:rsidP="00F2143A">
      <w:pPr>
        <w:shd w:val="clear" w:color="auto" w:fill="FFFFFF"/>
        <w:spacing w:before="180" w:after="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 serment doit être renouvelé en cas de nouvelle inscription après radiation.</w:t>
      </w:r>
    </w:p>
    <w:p w:rsidR="00F2143A" w:rsidRPr="00F2143A" w:rsidRDefault="00F2143A" w:rsidP="00F2143A">
      <w:pPr>
        <w:shd w:val="clear" w:color="auto" w:fill="FFFFFF"/>
        <w:spacing w:before="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Les experts ne figurant sur aucune des listes prêtent, chaque fois qu'ils sont commis, le serment prévu au premier alinéa.</w:t>
      </w:r>
    </w:p>
    <w:p w:rsidR="0049178A" w:rsidRDefault="0049178A" w:rsidP="0049178A">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17" w:name="LEGIARTI000006492484"/>
      <w:bookmarkEnd w:id="17"/>
      <w:r w:rsidRPr="0049178A">
        <w:rPr>
          <w:rFonts w:ascii="Arial" w:eastAsia="Times New Roman" w:hAnsi="Arial" w:cs="Arial"/>
          <w:b/>
          <w:bCs/>
          <w:color w:val="000000"/>
          <w:sz w:val="23"/>
          <w:szCs w:val="23"/>
          <w:u w:val="single"/>
          <w:lang w:eastAsia="fr-FR"/>
        </w:rPr>
        <w:t>Article 6</w:t>
      </w:r>
      <w:r w:rsidR="00B94426">
        <w:rPr>
          <w:rFonts w:ascii="Arial" w:eastAsia="Times New Roman" w:hAnsi="Arial" w:cs="Arial"/>
          <w:b/>
          <w:bCs/>
          <w:color w:val="000000"/>
          <w:sz w:val="23"/>
          <w:szCs w:val="23"/>
          <w:u w:val="single"/>
          <w:lang w:eastAsia="fr-FR"/>
        </w:rPr>
        <w:t>-1</w:t>
      </w:r>
    </w:p>
    <w:p w:rsidR="0049178A" w:rsidRDefault="0049178A" w:rsidP="0049178A">
      <w:pPr>
        <w:shd w:val="clear" w:color="auto" w:fill="FFFFFF"/>
        <w:spacing w:after="0" w:line="240" w:lineRule="auto"/>
        <w:jc w:val="both"/>
        <w:rPr>
          <w:rFonts w:ascii="Arial" w:eastAsia="Times New Roman" w:hAnsi="Arial" w:cs="Arial"/>
          <w:b/>
          <w:bCs/>
          <w:color w:val="000000"/>
          <w:sz w:val="23"/>
          <w:szCs w:val="23"/>
          <w:u w:val="single"/>
          <w:lang w:eastAsia="fr-FR"/>
        </w:rPr>
      </w:pPr>
    </w:p>
    <w:p w:rsidR="00F2143A" w:rsidRPr="00BC475B" w:rsidRDefault="0049178A" w:rsidP="0049178A">
      <w:pPr>
        <w:shd w:val="clear" w:color="auto" w:fill="FFFFFF"/>
        <w:spacing w:after="0" w:line="240" w:lineRule="auto"/>
        <w:jc w:val="both"/>
        <w:rPr>
          <w:rFonts w:ascii="Arial" w:eastAsia="Times New Roman" w:hAnsi="Arial" w:cs="Arial"/>
          <w:b/>
          <w:bCs/>
          <w:i/>
          <w:sz w:val="23"/>
          <w:szCs w:val="23"/>
          <w:lang w:eastAsia="fr-FR"/>
        </w:rPr>
      </w:pPr>
      <w:r w:rsidRPr="00BC475B">
        <w:rPr>
          <w:rFonts w:ascii="Arial" w:eastAsia="Times New Roman" w:hAnsi="Arial" w:cs="Arial"/>
          <w:i/>
          <w:color w:val="000000"/>
          <w:sz w:val="19"/>
          <w:szCs w:val="19"/>
          <w:lang w:eastAsia="fr-FR"/>
        </w:rPr>
        <w:t xml:space="preserve">Modifié par la </w:t>
      </w:r>
      <w:r w:rsidRPr="00BC475B">
        <w:rPr>
          <w:rFonts w:ascii="Arial" w:eastAsia="Times New Roman" w:hAnsi="Arial" w:cs="Arial"/>
          <w:i/>
          <w:sz w:val="19"/>
          <w:szCs w:val="19"/>
          <w:lang w:eastAsia="fr-FR"/>
        </w:rPr>
        <w:t xml:space="preserve">loi </w:t>
      </w:r>
      <w:r w:rsidR="00F2143A" w:rsidRPr="00BC475B">
        <w:rPr>
          <w:rFonts w:ascii="Arial" w:eastAsia="Times New Roman" w:hAnsi="Arial" w:cs="Arial"/>
          <w:i/>
          <w:sz w:val="19"/>
          <w:szCs w:val="19"/>
          <w:lang w:eastAsia="fr-FR"/>
        </w:rPr>
        <w:t xml:space="preserve"> n°2004-130 du 11 février 200</w:t>
      </w:r>
      <w:r w:rsidRPr="00BC475B">
        <w:rPr>
          <w:rFonts w:ascii="Arial" w:eastAsia="Times New Roman" w:hAnsi="Arial" w:cs="Arial"/>
          <w:i/>
          <w:sz w:val="19"/>
          <w:szCs w:val="19"/>
          <w:lang w:eastAsia="fr-FR"/>
        </w:rPr>
        <w:t>4</w:t>
      </w:r>
    </w:p>
    <w:p w:rsidR="00F2143A" w:rsidRPr="00F2143A" w:rsidRDefault="00F2143A" w:rsidP="00BC475B">
      <w:pPr>
        <w:shd w:val="clear" w:color="auto" w:fill="FFFFFF"/>
        <w:spacing w:before="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Sous réserve des dispositions de l'article 706-56 du code de procédure pénale, sont seules habilitées, en matière judiciaire, à procéder à l'identification d'une personne par ses empreintes génétiques, les personnes inscrites sur les listes instituées par l'article 2 de la présente loi et ayant fait l'objet d'un agrément dans des conditions fixées par décret en Conseil d'Etat.</w:t>
      </w:r>
    </w:p>
    <w:p w:rsidR="00F2143A" w:rsidRPr="00B94426" w:rsidRDefault="00B94426" w:rsidP="00AB192E">
      <w:pPr>
        <w:shd w:val="clear" w:color="auto" w:fill="FFFFFF"/>
        <w:spacing w:after="0" w:line="240" w:lineRule="auto"/>
        <w:jc w:val="both"/>
        <w:rPr>
          <w:rFonts w:ascii="Arial" w:eastAsia="Times New Roman" w:hAnsi="Arial" w:cs="Arial"/>
          <w:b/>
          <w:bCs/>
          <w:color w:val="000000"/>
          <w:sz w:val="23"/>
          <w:szCs w:val="23"/>
          <w:u w:val="single"/>
          <w:lang w:eastAsia="fr-FR"/>
        </w:rPr>
      </w:pPr>
      <w:bookmarkStart w:id="18" w:name="LEGIARTI000006492483"/>
      <w:bookmarkStart w:id="19" w:name="LEGIARTI000006492485"/>
      <w:bookmarkStart w:id="20" w:name="LEGIARTI000023276678"/>
      <w:bookmarkEnd w:id="18"/>
      <w:bookmarkEnd w:id="19"/>
      <w:bookmarkEnd w:id="20"/>
      <w:r w:rsidRPr="00B94426">
        <w:rPr>
          <w:rFonts w:ascii="Arial" w:eastAsia="Times New Roman" w:hAnsi="Arial" w:cs="Arial"/>
          <w:b/>
          <w:bCs/>
          <w:color w:val="000000"/>
          <w:sz w:val="23"/>
          <w:szCs w:val="23"/>
          <w:u w:val="single"/>
          <w:lang w:eastAsia="fr-FR"/>
        </w:rPr>
        <w:t>Article 6-2</w:t>
      </w:r>
    </w:p>
    <w:p w:rsidR="00F2143A" w:rsidRPr="00BC475B" w:rsidRDefault="00AB192E" w:rsidP="00AB192E">
      <w:pPr>
        <w:shd w:val="clear" w:color="auto" w:fill="FFFFFF"/>
        <w:spacing w:before="100" w:beforeAutospacing="1" w:after="100" w:afterAutospacing="1" w:line="240" w:lineRule="auto"/>
        <w:rPr>
          <w:rFonts w:ascii="Arial" w:eastAsia="Times New Roman" w:hAnsi="Arial" w:cs="Arial"/>
          <w:i/>
          <w:color w:val="000000"/>
          <w:sz w:val="19"/>
          <w:szCs w:val="19"/>
          <w:lang w:eastAsia="fr-FR"/>
        </w:rPr>
      </w:pPr>
      <w:r w:rsidRPr="00BC475B">
        <w:rPr>
          <w:rFonts w:ascii="Arial" w:eastAsia="Times New Roman" w:hAnsi="Arial" w:cs="Arial"/>
          <w:i/>
          <w:color w:val="000000"/>
          <w:sz w:val="19"/>
          <w:szCs w:val="19"/>
          <w:lang w:eastAsia="fr-FR"/>
        </w:rPr>
        <w:t xml:space="preserve">Modifié </w:t>
      </w:r>
      <w:r w:rsidRPr="00BC475B">
        <w:rPr>
          <w:rFonts w:ascii="Arial" w:eastAsia="Times New Roman" w:hAnsi="Arial" w:cs="Arial"/>
          <w:i/>
          <w:sz w:val="19"/>
          <w:szCs w:val="19"/>
          <w:lang w:eastAsia="fr-FR"/>
        </w:rPr>
        <w:t>par la loi</w:t>
      </w:r>
      <w:r w:rsidR="00F2143A" w:rsidRPr="00BC475B">
        <w:rPr>
          <w:rFonts w:ascii="Arial" w:eastAsia="Times New Roman" w:hAnsi="Arial" w:cs="Arial"/>
          <w:i/>
          <w:sz w:val="19"/>
          <w:szCs w:val="19"/>
          <w:lang w:eastAsia="fr-FR"/>
        </w:rPr>
        <w:t xml:space="preserve"> n°</w:t>
      </w:r>
      <w:r w:rsidRPr="00BC475B">
        <w:rPr>
          <w:rFonts w:ascii="Arial" w:eastAsia="Times New Roman" w:hAnsi="Arial" w:cs="Arial"/>
          <w:i/>
          <w:sz w:val="19"/>
          <w:szCs w:val="19"/>
          <w:lang w:eastAsia="fr-FR"/>
        </w:rPr>
        <w:t xml:space="preserve"> </w:t>
      </w:r>
      <w:r w:rsidR="00F2143A" w:rsidRPr="00BC475B">
        <w:rPr>
          <w:rFonts w:ascii="Arial" w:eastAsia="Times New Roman" w:hAnsi="Arial" w:cs="Arial"/>
          <w:i/>
          <w:sz w:val="19"/>
          <w:szCs w:val="19"/>
          <w:lang w:eastAsia="fr-FR"/>
        </w:rPr>
        <w:t>2010-16</w:t>
      </w:r>
      <w:r w:rsidRPr="00BC475B">
        <w:rPr>
          <w:rFonts w:ascii="Arial" w:eastAsia="Times New Roman" w:hAnsi="Arial" w:cs="Arial"/>
          <w:i/>
          <w:sz w:val="19"/>
          <w:szCs w:val="19"/>
          <w:lang w:eastAsia="fr-FR"/>
        </w:rPr>
        <w:t>09 du 22 décembre 2010</w:t>
      </w:r>
      <w:r w:rsidRPr="00BC475B">
        <w:rPr>
          <w:rFonts w:ascii="Arial" w:eastAsia="Times New Roman" w:hAnsi="Arial" w:cs="Arial"/>
          <w:i/>
          <w:sz w:val="19"/>
          <w:szCs w:val="19"/>
          <w:u w:val="single"/>
          <w:lang w:eastAsia="fr-FR"/>
        </w:rPr>
        <w:t xml:space="preserve">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Toute contravention aux lois et règlements relatifs à sa profession ou à sa mission d'expert, tout manquement à la probité ou à l'honneur, même se rapportant à des faits étrangers aux missions qui lui ont été confiées, expose l'expert qui en serait l'auteur à des poursuites disciplinaires.</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 retrait ou la radiation de l'expert ne fait pas obstacle aux poursuites si les faits qui lui sont reprochés ont été commis pendant l'exercice de ses fonctions.</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Les peines disciplinaires sont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1° L'avertissement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2° La radiation temporaire pour une durée maximale de trois ans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3° La radiation avec privation définitive du droit d'être inscrit sur une des listes prévues à l'article 2, ou le retrait de l'honorariat.</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Les poursuites sont exercées devant l'autorité ayant procédé à l'inscription, qui statue en commission de discipline. Les décisions en matière disciplinaire sont susceptibles d'un recours devant la Cour de cassation ou la cour d'appel, selon le cas.</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L'expert radié à titre temporaire est de nouveau soumis à la période probatoire s'il sollicite une nouvelle inscription sur une liste de cour d'appel. Il ne peut être inscrit sur la liste nationale qu'après une période d'inscription de cinq années sur une liste de cour d'appel postérieure à sa radiation.</w:t>
      </w:r>
    </w:p>
    <w:p w:rsidR="00F2143A" w:rsidRPr="00F2143A" w:rsidRDefault="00F2143A" w:rsidP="00BC475B">
      <w:pPr>
        <w:shd w:val="clear" w:color="auto" w:fill="FFFFFF"/>
        <w:spacing w:before="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Un décret en Conseil d'Etat fixe les conditions d'application du présent article, notamment les règles de procédure applicables à l'instance disciplinaire.</w:t>
      </w:r>
    </w:p>
    <w:p w:rsidR="00F2143A" w:rsidRPr="00F2143A" w:rsidRDefault="00AB192E" w:rsidP="00AB192E">
      <w:pPr>
        <w:shd w:val="clear" w:color="auto" w:fill="FFFFFF"/>
        <w:spacing w:after="0" w:line="240" w:lineRule="auto"/>
        <w:jc w:val="both"/>
        <w:rPr>
          <w:rFonts w:ascii="Arial" w:eastAsia="Times New Roman" w:hAnsi="Arial" w:cs="Arial"/>
          <w:b/>
          <w:bCs/>
          <w:color w:val="767676"/>
          <w:sz w:val="23"/>
          <w:szCs w:val="23"/>
          <w:lang w:eastAsia="fr-FR"/>
        </w:rPr>
      </w:pPr>
      <w:bookmarkStart w:id="21" w:name="LEGIARTI000006492486"/>
      <w:bookmarkEnd w:id="21"/>
      <w:r>
        <w:rPr>
          <w:rFonts w:ascii="Arial" w:eastAsia="Times New Roman" w:hAnsi="Arial" w:cs="Arial"/>
          <w:b/>
          <w:bCs/>
          <w:sz w:val="23"/>
          <w:szCs w:val="23"/>
          <w:lang w:eastAsia="fr-FR"/>
        </w:rPr>
        <w:t>Article 6-3 (abrogé)</w:t>
      </w:r>
    </w:p>
    <w:p w:rsidR="00F2143A" w:rsidRPr="00BC475B" w:rsidRDefault="00F2143A" w:rsidP="00AB192E">
      <w:pPr>
        <w:shd w:val="clear" w:color="auto" w:fill="FFFFFF"/>
        <w:spacing w:before="100" w:beforeAutospacing="1" w:after="100" w:afterAutospacing="1" w:line="240" w:lineRule="auto"/>
        <w:rPr>
          <w:rFonts w:ascii="Arial" w:eastAsia="Times New Roman" w:hAnsi="Arial" w:cs="Arial"/>
          <w:i/>
          <w:color w:val="000000"/>
          <w:sz w:val="19"/>
          <w:szCs w:val="19"/>
          <w:lang w:eastAsia="fr-FR"/>
        </w:rPr>
      </w:pPr>
      <w:r w:rsidRPr="00BC475B">
        <w:rPr>
          <w:rFonts w:ascii="Arial" w:eastAsia="Times New Roman" w:hAnsi="Arial" w:cs="Arial"/>
          <w:i/>
          <w:color w:val="000000"/>
          <w:sz w:val="19"/>
          <w:szCs w:val="19"/>
          <w:lang w:eastAsia="fr-FR"/>
        </w:rPr>
        <w:t>Créé par </w:t>
      </w:r>
      <w:r w:rsidR="00AB192E" w:rsidRPr="00BC475B">
        <w:rPr>
          <w:rFonts w:ascii="Arial" w:eastAsia="Times New Roman" w:hAnsi="Arial" w:cs="Arial"/>
          <w:i/>
          <w:color w:val="000000"/>
          <w:sz w:val="19"/>
          <w:szCs w:val="19"/>
          <w:lang w:eastAsia="fr-FR"/>
        </w:rPr>
        <w:t xml:space="preserve">la </w:t>
      </w:r>
      <w:r w:rsidRPr="00BC475B">
        <w:rPr>
          <w:rFonts w:ascii="Arial" w:eastAsia="Times New Roman" w:hAnsi="Arial" w:cs="Arial"/>
          <w:i/>
          <w:color w:val="336699"/>
          <w:sz w:val="19"/>
          <w:szCs w:val="19"/>
          <w:u w:val="single"/>
          <w:lang w:eastAsia="fr-FR"/>
        </w:rPr>
        <w:t>L</w:t>
      </w:r>
      <w:r w:rsidRPr="00BC475B">
        <w:rPr>
          <w:rFonts w:ascii="Arial" w:eastAsia="Times New Roman" w:hAnsi="Arial" w:cs="Arial"/>
          <w:i/>
          <w:sz w:val="19"/>
          <w:szCs w:val="19"/>
          <w:lang w:eastAsia="fr-FR"/>
        </w:rPr>
        <w:t>oi n°2004-130 du 11 février 200</w:t>
      </w:r>
      <w:r w:rsidR="00AB192E" w:rsidRPr="00BC475B">
        <w:rPr>
          <w:rFonts w:ascii="Arial" w:eastAsia="Times New Roman" w:hAnsi="Arial" w:cs="Arial"/>
          <w:i/>
          <w:sz w:val="19"/>
          <w:szCs w:val="19"/>
          <w:lang w:eastAsia="fr-FR"/>
        </w:rPr>
        <w:t xml:space="preserve">4 </w:t>
      </w:r>
      <w:r w:rsidR="00AB192E" w:rsidRPr="00BC475B">
        <w:rPr>
          <w:rFonts w:ascii="Arial" w:eastAsia="Times New Roman" w:hAnsi="Arial" w:cs="Arial"/>
          <w:i/>
          <w:color w:val="000000"/>
          <w:sz w:val="19"/>
          <w:szCs w:val="19"/>
          <w:lang w:eastAsia="fr-FR"/>
        </w:rPr>
        <w:t>et a</w:t>
      </w:r>
      <w:r w:rsidRPr="00BC475B">
        <w:rPr>
          <w:rFonts w:ascii="Arial" w:eastAsia="Times New Roman" w:hAnsi="Arial" w:cs="Arial"/>
          <w:i/>
          <w:color w:val="000000"/>
          <w:sz w:val="19"/>
          <w:szCs w:val="19"/>
          <w:lang w:eastAsia="fr-FR"/>
        </w:rPr>
        <w:t>brogé par </w:t>
      </w:r>
      <w:r w:rsidR="00AB192E" w:rsidRPr="00BC475B">
        <w:rPr>
          <w:rFonts w:ascii="Arial" w:eastAsia="Times New Roman" w:hAnsi="Arial" w:cs="Arial"/>
          <w:i/>
          <w:color w:val="000000"/>
          <w:sz w:val="19"/>
          <w:szCs w:val="19"/>
          <w:lang w:eastAsia="fr-FR"/>
        </w:rPr>
        <w:t xml:space="preserve">la </w:t>
      </w:r>
      <w:r w:rsidR="00AB192E" w:rsidRPr="00BC475B">
        <w:rPr>
          <w:rFonts w:ascii="Arial" w:eastAsia="Times New Roman" w:hAnsi="Arial" w:cs="Arial"/>
          <w:i/>
          <w:sz w:val="19"/>
          <w:szCs w:val="19"/>
          <w:lang w:eastAsia="fr-FR"/>
        </w:rPr>
        <w:t>loi</w:t>
      </w:r>
      <w:r w:rsidRPr="00BC475B">
        <w:rPr>
          <w:rFonts w:ascii="Arial" w:eastAsia="Times New Roman" w:hAnsi="Arial" w:cs="Arial"/>
          <w:i/>
          <w:sz w:val="19"/>
          <w:szCs w:val="19"/>
          <w:lang w:eastAsia="fr-FR"/>
        </w:rPr>
        <w:t xml:space="preserve"> n°2008-5</w:t>
      </w:r>
      <w:r w:rsidR="00AB192E" w:rsidRPr="00BC475B">
        <w:rPr>
          <w:rFonts w:ascii="Arial" w:eastAsia="Times New Roman" w:hAnsi="Arial" w:cs="Arial"/>
          <w:i/>
          <w:sz w:val="19"/>
          <w:szCs w:val="19"/>
          <w:lang w:eastAsia="fr-FR"/>
        </w:rPr>
        <w:t>61 du 17 juin 2008</w:t>
      </w:r>
      <w:r w:rsidR="001A5D53" w:rsidRPr="00BC475B">
        <w:rPr>
          <w:rFonts w:ascii="Arial" w:eastAsia="Times New Roman" w:hAnsi="Arial" w:cs="Arial"/>
          <w:i/>
          <w:sz w:val="19"/>
          <w:szCs w:val="19"/>
          <w:lang w:eastAsia="fr-FR"/>
        </w:rPr>
        <w:t>*</w:t>
      </w:r>
    </w:p>
    <w:p w:rsidR="00F2143A" w:rsidRPr="00F2143A" w:rsidRDefault="00F2143A" w:rsidP="00AB192E">
      <w:pPr>
        <w:shd w:val="clear" w:color="auto" w:fill="FFFFFF"/>
        <w:spacing w:after="0" w:line="240" w:lineRule="auto"/>
        <w:jc w:val="both"/>
        <w:rPr>
          <w:rFonts w:ascii="Arial" w:eastAsia="Times New Roman" w:hAnsi="Arial" w:cs="Arial"/>
          <w:b/>
          <w:bCs/>
          <w:color w:val="000000"/>
          <w:sz w:val="23"/>
          <w:szCs w:val="23"/>
          <w:lang w:eastAsia="fr-FR"/>
        </w:rPr>
      </w:pPr>
      <w:bookmarkStart w:id="22" w:name="LEGIARTI000006492488"/>
      <w:bookmarkEnd w:id="22"/>
      <w:r w:rsidRPr="00F2143A">
        <w:rPr>
          <w:rFonts w:ascii="Arial" w:eastAsia="Times New Roman" w:hAnsi="Arial" w:cs="Arial"/>
          <w:b/>
          <w:bCs/>
          <w:color w:val="000000"/>
          <w:sz w:val="23"/>
          <w:szCs w:val="23"/>
          <w:lang w:eastAsia="fr-FR"/>
        </w:rPr>
        <w:t>Article 7</w:t>
      </w:r>
    </w:p>
    <w:p w:rsidR="00F2143A" w:rsidRPr="00F2143A" w:rsidRDefault="00F2143A" w:rsidP="00F2143A">
      <w:pPr>
        <w:shd w:val="clear" w:color="auto" w:fill="FFFFFF"/>
        <w:spacing w:before="180" w:line="240" w:lineRule="auto"/>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Les conditions d'application de la présente loi sont fixées par des décrets qui détermineront notamment les modalités des conditions d'inscription sur les listes, celles relatives à la prestation de serment, à la limite d'âge et à l'honorariat.</w:t>
      </w:r>
    </w:p>
    <w:p w:rsidR="001A5D53" w:rsidRDefault="001A5D53" w:rsidP="00AB192E">
      <w:pPr>
        <w:shd w:val="clear" w:color="auto" w:fill="FFFFFF"/>
        <w:spacing w:after="0" w:line="240" w:lineRule="auto"/>
        <w:jc w:val="both"/>
        <w:rPr>
          <w:rFonts w:ascii="Arial" w:eastAsia="Times New Roman" w:hAnsi="Arial" w:cs="Arial"/>
          <w:b/>
          <w:bCs/>
          <w:color w:val="000000"/>
          <w:sz w:val="23"/>
          <w:szCs w:val="23"/>
          <w:lang w:eastAsia="fr-FR"/>
        </w:rPr>
      </w:pPr>
      <w:bookmarkStart w:id="23" w:name="LEGIARTI000006492491"/>
      <w:bookmarkStart w:id="24" w:name="LEGIARTI000023276682"/>
      <w:bookmarkStart w:id="25" w:name="LEGIARTI000023822290"/>
      <w:bookmarkStart w:id="26" w:name="LEGIARTI000024981974"/>
      <w:bookmarkStart w:id="27" w:name="LEGIARTI000033462355"/>
      <w:bookmarkEnd w:id="23"/>
      <w:bookmarkEnd w:id="24"/>
      <w:bookmarkEnd w:id="25"/>
      <w:bookmarkEnd w:id="26"/>
      <w:bookmarkEnd w:id="27"/>
    </w:p>
    <w:p w:rsidR="001A5D53" w:rsidRPr="00D36B42" w:rsidRDefault="001A5D53" w:rsidP="00AB192E">
      <w:pPr>
        <w:shd w:val="clear" w:color="auto" w:fill="FFFFFF"/>
        <w:spacing w:after="0" w:line="240" w:lineRule="auto"/>
        <w:jc w:val="both"/>
        <w:rPr>
          <w:rFonts w:ascii="Arial" w:eastAsia="Times New Roman" w:hAnsi="Arial" w:cs="Arial"/>
          <w:bCs/>
          <w:color w:val="000000"/>
          <w:sz w:val="19"/>
          <w:szCs w:val="19"/>
          <w:lang w:eastAsia="fr-FR"/>
        </w:rPr>
      </w:pPr>
      <w:r w:rsidRPr="00D36B42">
        <w:rPr>
          <w:rFonts w:ascii="Arial" w:eastAsia="Times New Roman" w:hAnsi="Arial" w:cs="Arial"/>
          <w:bCs/>
          <w:color w:val="000000"/>
          <w:sz w:val="19"/>
          <w:szCs w:val="19"/>
          <w:lang w:eastAsia="fr-FR"/>
        </w:rPr>
        <w:t>*L’action en responsab</w:t>
      </w:r>
      <w:r w:rsidR="00D36B42" w:rsidRPr="00D36B42">
        <w:rPr>
          <w:rFonts w:ascii="Arial" w:eastAsia="Times New Roman" w:hAnsi="Arial" w:cs="Arial"/>
          <w:bCs/>
          <w:color w:val="000000"/>
          <w:sz w:val="19"/>
          <w:szCs w:val="19"/>
          <w:lang w:eastAsia="fr-FR"/>
        </w:rPr>
        <w:t>i</w:t>
      </w:r>
      <w:r w:rsidRPr="00D36B42">
        <w:rPr>
          <w:rFonts w:ascii="Arial" w:eastAsia="Times New Roman" w:hAnsi="Arial" w:cs="Arial"/>
          <w:bCs/>
          <w:color w:val="000000"/>
          <w:sz w:val="19"/>
          <w:szCs w:val="19"/>
          <w:lang w:eastAsia="fr-FR"/>
        </w:rPr>
        <w:t>lité  dirigée contre un expert pour des faits se rapportant à l’exercice de sa mission se prescrit dans les conditions de droit commun de l’article 2224 du code civil qui dispose : « </w:t>
      </w:r>
      <w:r w:rsidR="00D36B42" w:rsidRPr="00D36B42">
        <w:rPr>
          <w:rFonts w:ascii="Arial" w:eastAsia="Times New Roman" w:hAnsi="Arial" w:cs="Arial"/>
          <w:bCs/>
          <w:color w:val="000000"/>
          <w:sz w:val="19"/>
          <w:szCs w:val="19"/>
          <w:lang w:eastAsia="fr-FR"/>
        </w:rPr>
        <w:t>les actions personnelles ou mobilières se prescrivent par cinq ans à compter du jour où le titulaire d’un droit a connu ou aurait dû connaître les faits lui permettant de l’exercer ».</w:t>
      </w:r>
    </w:p>
    <w:p w:rsidR="001A5D53" w:rsidRDefault="001A5D53" w:rsidP="00AB192E">
      <w:pPr>
        <w:shd w:val="clear" w:color="auto" w:fill="FFFFFF"/>
        <w:spacing w:after="0" w:line="240" w:lineRule="auto"/>
        <w:jc w:val="both"/>
        <w:rPr>
          <w:rFonts w:ascii="Arial" w:eastAsia="Times New Roman" w:hAnsi="Arial" w:cs="Arial"/>
          <w:b/>
          <w:bCs/>
          <w:color w:val="000000"/>
          <w:sz w:val="23"/>
          <w:szCs w:val="23"/>
          <w:lang w:eastAsia="fr-FR"/>
        </w:rPr>
      </w:pPr>
    </w:p>
    <w:p w:rsidR="001A5D53" w:rsidRDefault="001A5D53" w:rsidP="00AB192E">
      <w:pPr>
        <w:shd w:val="clear" w:color="auto" w:fill="FFFFFF"/>
        <w:spacing w:after="0" w:line="240" w:lineRule="auto"/>
        <w:jc w:val="both"/>
        <w:rPr>
          <w:rFonts w:ascii="Arial" w:eastAsia="Times New Roman" w:hAnsi="Arial" w:cs="Arial"/>
          <w:b/>
          <w:bCs/>
          <w:color w:val="000000"/>
          <w:sz w:val="23"/>
          <w:szCs w:val="23"/>
          <w:lang w:eastAsia="fr-FR"/>
        </w:rPr>
      </w:pPr>
    </w:p>
    <w:p w:rsidR="001A5D53" w:rsidRDefault="001A5D53" w:rsidP="00AB192E">
      <w:pPr>
        <w:shd w:val="clear" w:color="auto" w:fill="FFFFFF"/>
        <w:spacing w:after="0" w:line="240" w:lineRule="auto"/>
        <w:jc w:val="both"/>
        <w:rPr>
          <w:rFonts w:ascii="Arial" w:eastAsia="Times New Roman" w:hAnsi="Arial" w:cs="Arial"/>
          <w:b/>
          <w:bCs/>
          <w:color w:val="000000"/>
          <w:sz w:val="23"/>
          <w:szCs w:val="23"/>
          <w:lang w:eastAsia="fr-FR"/>
        </w:rPr>
      </w:pPr>
    </w:p>
    <w:p w:rsidR="001A5D53" w:rsidRDefault="001A5D53" w:rsidP="00AB192E">
      <w:pPr>
        <w:shd w:val="clear" w:color="auto" w:fill="FFFFFF"/>
        <w:spacing w:after="0" w:line="240" w:lineRule="auto"/>
        <w:jc w:val="both"/>
        <w:rPr>
          <w:rFonts w:ascii="Arial" w:eastAsia="Times New Roman" w:hAnsi="Arial" w:cs="Arial"/>
          <w:b/>
          <w:bCs/>
          <w:color w:val="000000"/>
          <w:sz w:val="23"/>
          <w:szCs w:val="23"/>
          <w:lang w:eastAsia="fr-FR"/>
        </w:rPr>
      </w:pPr>
    </w:p>
    <w:p w:rsidR="001A5D53" w:rsidRDefault="001A5D53" w:rsidP="00AB192E">
      <w:pPr>
        <w:shd w:val="clear" w:color="auto" w:fill="FFFFFF"/>
        <w:spacing w:after="0" w:line="240" w:lineRule="auto"/>
        <w:jc w:val="both"/>
        <w:rPr>
          <w:rFonts w:ascii="Arial" w:eastAsia="Times New Roman" w:hAnsi="Arial" w:cs="Arial"/>
          <w:b/>
          <w:bCs/>
          <w:color w:val="000000"/>
          <w:sz w:val="23"/>
          <w:szCs w:val="23"/>
          <w:lang w:eastAsia="fr-FR"/>
        </w:rPr>
      </w:pPr>
    </w:p>
    <w:p w:rsidR="00F2143A" w:rsidRPr="00F2143A" w:rsidRDefault="00B94426" w:rsidP="00AB192E">
      <w:pPr>
        <w:shd w:val="clear" w:color="auto" w:fill="FFFFFF"/>
        <w:spacing w:after="0" w:line="240" w:lineRule="auto"/>
        <w:jc w:val="both"/>
        <w:rPr>
          <w:rFonts w:ascii="Arial" w:eastAsia="Times New Roman" w:hAnsi="Arial" w:cs="Arial"/>
          <w:b/>
          <w:bCs/>
          <w:color w:val="000000"/>
          <w:sz w:val="23"/>
          <w:szCs w:val="23"/>
          <w:lang w:eastAsia="fr-FR"/>
        </w:rPr>
      </w:pPr>
      <w:r>
        <w:rPr>
          <w:rFonts w:ascii="Arial" w:eastAsia="Times New Roman" w:hAnsi="Arial" w:cs="Arial"/>
          <w:b/>
          <w:bCs/>
          <w:color w:val="000000"/>
          <w:sz w:val="23"/>
          <w:szCs w:val="23"/>
          <w:lang w:eastAsia="fr-FR"/>
        </w:rPr>
        <w:t xml:space="preserve">Article 8 </w:t>
      </w:r>
    </w:p>
    <w:p w:rsidR="00F2143A" w:rsidRPr="00BC475B" w:rsidRDefault="00F2143A" w:rsidP="00B94426">
      <w:pPr>
        <w:shd w:val="clear" w:color="auto" w:fill="FFFFFF"/>
        <w:spacing w:before="100" w:beforeAutospacing="1" w:after="100" w:afterAutospacing="1" w:line="240" w:lineRule="auto"/>
        <w:rPr>
          <w:rFonts w:ascii="Arial" w:eastAsia="Times New Roman" w:hAnsi="Arial" w:cs="Arial"/>
          <w:i/>
          <w:sz w:val="19"/>
          <w:szCs w:val="19"/>
          <w:lang w:eastAsia="fr-FR"/>
        </w:rPr>
      </w:pPr>
      <w:r w:rsidRPr="00BC475B">
        <w:rPr>
          <w:rFonts w:ascii="Arial" w:eastAsia="Times New Roman" w:hAnsi="Arial" w:cs="Arial"/>
          <w:i/>
          <w:color w:val="000000"/>
          <w:sz w:val="19"/>
          <w:szCs w:val="19"/>
          <w:lang w:eastAsia="fr-FR"/>
        </w:rPr>
        <w:t>Modifié par </w:t>
      </w:r>
      <w:r w:rsidR="00B94426" w:rsidRPr="00BC475B">
        <w:rPr>
          <w:rFonts w:ascii="Arial" w:eastAsia="Times New Roman" w:hAnsi="Arial" w:cs="Arial"/>
          <w:i/>
          <w:color w:val="000000"/>
          <w:sz w:val="19"/>
          <w:szCs w:val="19"/>
          <w:lang w:eastAsia="fr-FR"/>
        </w:rPr>
        <w:t>la loi n° 2002-303 du 4 mars 2002</w:t>
      </w:r>
      <w:r w:rsidR="004E0F7D">
        <w:rPr>
          <w:rFonts w:ascii="Arial" w:eastAsia="Times New Roman" w:hAnsi="Arial" w:cs="Arial"/>
          <w:i/>
          <w:sz w:val="19"/>
          <w:szCs w:val="19"/>
          <w:lang w:eastAsia="fr-FR"/>
        </w:rPr>
        <w:t xml:space="preserve">, les </w:t>
      </w:r>
      <w:r w:rsidR="00B94426" w:rsidRPr="00BC475B">
        <w:rPr>
          <w:rFonts w:ascii="Arial" w:eastAsia="Times New Roman" w:hAnsi="Arial" w:cs="Arial"/>
          <w:i/>
          <w:sz w:val="19"/>
          <w:szCs w:val="19"/>
          <w:lang w:eastAsia="fr-FR"/>
        </w:rPr>
        <w:t>o</w:t>
      </w:r>
      <w:r w:rsidRPr="00BC475B">
        <w:rPr>
          <w:rFonts w:ascii="Arial" w:eastAsia="Times New Roman" w:hAnsi="Arial" w:cs="Arial"/>
          <w:i/>
          <w:sz w:val="19"/>
          <w:szCs w:val="19"/>
          <w:lang w:eastAsia="fr-FR"/>
        </w:rPr>
        <w:t>rdonnance</w:t>
      </w:r>
      <w:r w:rsidR="004E0F7D">
        <w:rPr>
          <w:rFonts w:ascii="Arial" w:eastAsia="Times New Roman" w:hAnsi="Arial" w:cs="Arial"/>
          <w:i/>
          <w:sz w:val="19"/>
          <w:szCs w:val="19"/>
          <w:lang w:eastAsia="fr-FR"/>
        </w:rPr>
        <w:t>s</w:t>
      </w:r>
      <w:r w:rsidRPr="00BC475B">
        <w:rPr>
          <w:rFonts w:ascii="Arial" w:eastAsia="Times New Roman" w:hAnsi="Arial" w:cs="Arial"/>
          <w:i/>
          <w:sz w:val="19"/>
          <w:szCs w:val="19"/>
          <w:lang w:eastAsia="fr-FR"/>
        </w:rPr>
        <w:t xml:space="preserve"> </w:t>
      </w:r>
      <w:r w:rsidR="00B94426" w:rsidRPr="00BC475B">
        <w:rPr>
          <w:rFonts w:ascii="Arial" w:eastAsia="Times New Roman" w:hAnsi="Arial" w:cs="Arial"/>
          <w:i/>
          <w:sz w:val="19"/>
          <w:szCs w:val="19"/>
          <w:lang w:eastAsia="fr-FR"/>
        </w:rPr>
        <w:t>n° 2003-166 d</w:t>
      </w:r>
      <w:r w:rsidR="004E0F7D">
        <w:rPr>
          <w:rFonts w:ascii="Arial" w:eastAsia="Times New Roman" w:hAnsi="Arial" w:cs="Arial"/>
          <w:i/>
          <w:sz w:val="19"/>
          <w:szCs w:val="19"/>
          <w:lang w:eastAsia="fr-FR"/>
        </w:rPr>
        <w:t xml:space="preserve">u 27 février 2003, et </w:t>
      </w:r>
      <w:r w:rsidR="00B94426" w:rsidRPr="00BC475B">
        <w:rPr>
          <w:rFonts w:ascii="Arial" w:eastAsia="Times New Roman" w:hAnsi="Arial" w:cs="Arial"/>
          <w:i/>
          <w:sz w:val="19"/>
          <w:szCs w:val="19"/>
          <w:lang w:eastAsia="fr-FR"/>
        </w:rPr>
        <w:t>n° 2006-639 du 1 juin 2006, la loi n° 2</w:t>
      </w:r>
      <w:r w:rsidR="004E0F7D">
        <w:rPr>
          <w:rFonts w:ascii="Arial" w:eastAsia="Times New Roman" w:hAnsi="Arial" w:cs="Arial"/>
          <w:i/>
          <w:sz w:val="19"/>
          <w:szCs w:val="19"/>
          <w:lang w:eastAsia="fr-FR"/>
        </w:rPr>
        <w:t xml:space="preserve">010-1609 du 22 décembre 2010, les </w:t>
      </w:r>
      <w:r w:rsidR="00B94426" w:rsidRPr="00BC475B">
        <w:rPr>
          <w:rFonts w:ascii="Arial" w:eastAsia="Times New Roman" w:hAnsi="Arial" w:cs="Arial"/>
          <w:i/>
          <w:sz w:val="19"/>
          <w:szCs w:val="19"/>
          <w:lang w:eastAsia="fr-FR"/>
        </w:rPr>
        <w:t>ordonnance</w:t>
      </w:r>
      <w:r w:rsidR="004E0F7D">
        <w:rPr>
          <w:rFonts w:ascii="Arial" w:eastAsia="Times New Roman" w:hAnsi="Arial" w:cs="Arial"/>
          <w:i/>
          <w:sz w:val="19"/>
          <w:szCs w:val="19"/>
          <w:lang w:eastAsia="fr-FR"/>
        </w:rPr>
        <w:t>s</w:t>
      </w:r>
      <w:r w:rsidR="00B94426" w:rsidRPr="00BC475B">
        <w:rPr>
          <w:rFonts w:ascii="Arial" w:eastAsia="Times New Roman" w:hAnsi="Arial" w:cs="Arial"/>
          <w:i/>
          <w:sz w:val="19"/>
          <w:szCs w:val="19"/>
          <w:lang w:eastAsia="fr-FR"/>
        </w:rPr>
        <w:t xml:space="preserve"> n° n° 2011-3</w:t>
      </w:r>
      <w:r w:rsidR="004E0F7D">
        <w:rPr>
          <w:rFonts w:ascii="Arial" w:eastAsia="Times New Roman" w:hAnsi="Arial" w:cs="Arial"/>
          <w:i/>
          <w:sz w:val="19"/>
          <w:szCs w:val="19"/>
          <w:lang w:eastAsia="fr-FR"/>
        </w:rPr>
        <w:t>37 du 29 mars 2011et n°</w:t>
      </w:r>
      <w:r w:rsidR="00B94426" w:rsidRPr="00BC475B">
        <w:rPr>
          <w:rFonts w:ascii="Arial" w:eastAsia="Times New Roman" w:hAnsi="Arial" w:cs="Arial"/>
          <w:i/>
          <w:sz w:val="19"/>
          <w:szCs w:val="19"/>
          <w:lang w:eastAsia="fr-FR"/>
        </w:rPr>
        <w:t xml:space="preserve"> 2011-1875 du 15 décembre 2011</w:t>
      </w:r>
      <w:r w:rsidR="004E0F7D">
        <w:rPr>
          <w:rFonts w:ascii="Arial" w:eastAsia="Times New Roman" w:hAnsi="Arial" w:cs="Arial"/>
          <w:i/>
          <w:sz w:val="19"/>
          <w:szCs w:val="19"/>
          <w:lang w:eastAsia="fr-FR"/>
        </w:rPr>
        <w:t>,</w:t>
      </w:r>
      <w:bookmarkStart w:id="28" w:name="_GoBack"/>
      <w:bookmarkEnd w:id="28"/>
      <w:r w:rsidR="00B94426" w:rsidRPr="00BC475B">
        <w:rPr>
          <w:rFonts w:ascii="Arial" w:eastAsia="Times New Roman" w:hAnsi="Arial" w:cs="Arial"/>
          <w:i/>
          <w:sz w:val="19"/>
          <w:szCs w:val="19"/>
          <w:lang w:eastAsia="fr-FR"/>
        </w:rPr>
        <w:t xml:space="preserve"> et la loi </w:t>
      </w:r>
      <w:r w:rsidRPr="00BC475B">
        <w:rPr>
          <w:rFonts w:ascii="Arial" w:eastAsia="Times New Roman" w:hAnsi="Arial" w:cs="Arial"/>
          <w:i/>
          <w:sz w:val="19"/>
          <w:szCs w:val="19"/>
          <w:lang w:eastAsia="fr-FR"/>
        </w:rPr>
        <w:t xml:space="preserve"> n°2016-1547 du</w:t>
      </w:r>
      <w:r w:rsidR="00B94426" w:rsidRPr="00BC475B">
        <w:rPr>
          <w:rFonts w:ascii="Arial" w:eastAsia="Times New Roman" w:hAnsi="Arial" w:cs="Arial"/>
          <w:i/>
          <w:sz w:val="19"/>
          <w:szCs w:val="19"/>
          <w:lang w:eastAsia="fr-FR"/>
        </w:rPr>
        <w:t xml:space="preserve"> 18 novembre 2016.</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La présente loi est applicable dans la collectivité territoriale de Saint-Pierre-et-Miquelon. Pour son application à cette collectivité, les attributions dévolues à la cour d'appel sont exercées par le tribunal supérieur d'appel. De même, les attributions dévolues au premier président de la cour d'appel sont exercées par le président du tribunal supérieur d'appel.</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La présente loi est applicable à Mayotte, en Nouvelle-Calédonie, en Polynésie française et à Wallis et Futuna sous réserve des adaptations suivantes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1° Pour son application à Mayotte, les attributions dévolues à la cour d'appel sont exercées par la chambre d'appel de Mamoudzou et celles dévolues au premier président par le président de la chambre d'appel de Mamoudzou ;</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2° Pour l'application à Mayotte de l'article 2, les mots : " près avis motivé d'une commission associant des représentants des juridictions et experts " sont supprimés.</w:t>
      </w:r>
    </w:p>
    <w:p w:rsidR="00F2143A" w:rsidRPr="00F2143A" w:rsidRDefault="00F2143A" w:rsidP="00BC475B">
      <w:pPr>
        <w:shd w:val="clear" w:color="auto" w:fill="FFFFFF"/>
        <w:spacing w:before="180" w:after="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3° Au dernier alinéa de l'article 6, les mots : " celui prévu à l'article 308 du code de procédure civile " sont remplacés par les mots : " celui prévu par les dispositions de procédure civile applicables localement en matière de prestation de serment ".</w:t>
      </w:r>
    </w:p>
    <w:p w:rsidR="00F2143A" w:rsidRPr="00F2143A" w:rsidRDefault="00F2143A" w:rsidP="00BC475B">
      <w:pPr>
        <w:shd w:val="clear" w:color="auto" w:fill="FFFFFF"/>
        <w:spacing w:before="180" w:line="240" w:lineRule="auto"/>
        <w:jc w:val="both"/>
        <w:rPr>
          <w:rFonts w:ascii="Arial" w:eastAsia="Times New Roman" w:hAnsi="Arial" w:cs="Arial"/>
          <w:color w:val="000000"/>
          <w:sz w:val="19"/>
          <w:szCs w:val="19"/>
          <w:lang w:eastAsia="fr-FR"/>
        </w:rPr>
      </w:pPr>
      <w:r w:rsidRPr="00F2143A">
        <w:rPr>
          <w:rFonts w:ascii="Arial" w:eastAsia="Times New Roman" w:hAnsi="Arial" w:cs="Arial"/>
          <w:color w:val="000000"/>
          <w:sz w:val="19"/>
          <w:szCs w:val="19"/>
          <w:lang w:eastAsia="fr-FR"/>
        </w:rPr>
        <w:t>En Nouvelle-Calédonie, en Polynésie française et à Wallis-et-Futuna, elle est applicable dans sa rédaction résultant de la loi n° 2016-1547 du 18 novembre 2016 de modernisation de la justice du XXIe siècle.</w:t>
      </w:r>
    </w:p>
    <w:p w:rsidR="003F1985" w:rsidRDefault="003F1985" w:rsidP="00BC475B">
      <w:pPr>
        <w:jc w:val="both"/>
      </w:pPr>
    </w:p>
    <w:sectPr w:rsidR="003F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CD1"/>
    <w:multiLevelType w:val="multilevel"/>
    <w:tmpl w:val="D6CA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491C"/>
    <w:multiLevelType w:val="hybridMultilevel"/>
    <w:tmpl w:val="26D88484"/>
    <w:lvl w:ilvl="0" w:tplc="4A365DD4">
      <w:start w:val="3"/>
      <w:numFmt w:val="bullet"/>
      <w:lvlText w:val=""/>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02074"/>
    <w:multiLevelType w:val="multilevel"/>
    <w:tmpl w:val="8FEA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07B3A"/>
    <w:multiLevelType w:val="hybridMultilevel"/>
    <w:tmpl w:val="60B478B4"/>
    <w:lvl w:ilvl="0" w:tplc="751065B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D4831"/>
    <w:multiLevelType w:val="multilevel"/>
    <w:tmpl w:val="9B5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671E5"/>
    <w:multiLevelType w:val="multilevel"/>
    <w:tmpl w:val="7706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861EF"/>
    <w:multiLevelType w:val="multilevel"/>
    <w:tmpl w:val="A65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40939"/>
    <w:multiLevelType w:val="multilevel"/>
    <w:tmpl w:val="DFF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55556"/>
    <w:multiLevelType w:val="multilevel"/>
    <w:tmpl w:val="3E0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30E29"/>
    <w:multiLevelType w:val="multilevel"/>
    <w:tmpl w:val="F89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E5C0B"/>
    <w:multiLevelType w:val="multilevel"/>
    <w:tmpl w:val="A8E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AD4CCD"/>
    <w:multiLevelType w:val="multilevel"/>
    <w:tmpl w:val="215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4"/>
  </w:num>
  <w:num w:numId="5">
    <w:abstractNumId w:val="6"/>
  </w:num>
  <w:num w:numId="6">
    <w:abstractNumId w:val="0"/>
  </w:num>
  <w:num w:numId="7">
    <w:abstractNumId w:val="7"/>
  </w:num>
  <w:num w:numId="8">
    <w:abstractNumId w:val="5"/>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3A"/>
    <w:rsid w:val="000E0739"/>
    <w:rsid w:val="00114EBF"/>
    <w:rsid w:val="001556D9"/>
    <w:rsid w:val="001A5D53"/>
    <w:rsid w:val="003F1985"/>
    <w:rsid w:val="003F30B6"/>
    <w:rsid w:val="0049178A"/>
    <w:rsid w:val="004E0F7D"/>
    <w:rsid w:val="007B332A"/>
    <w:rsid w:val="007E33B5"/>
    <w:rsid w:val="00AB192E"/>
    <w:rsid w:val="00B94426"/>
    <w:rsid w:val="00BC475B"/>
    <w:rsid w:val="00D36B42"/>
    <w:rsid w:val="00D73567"/>
    <w:rsid w:val="00E32A2C"/>
    <w:rsid w:val="00F2143A"/>
    <w:rsid w:val="00F76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2143A"/>
    <w:rPr>
      <w:b/>
      <w:bCs/>
    </w:rPr>
  </w:style>
  <w:style w:type="character" w:styleId="Lienhypertexte">
    <w:name w:val="Hyperlink"/>
    <w:basedOn w:val="Policepardfaut"/>
    <w:uiPriority w:val="99"/>
    <w:semiHidden/>
    <w:unhideWhenUsed/>
    <w:rsid w:val="00F2143A"/>
    <w:rPr>
      <w:color w:val="0000FF"/>
      <w:u w:val="single"/>
    </w:rPr>
  </w:style>
  <w:style w:type="paragraph" w:styleId="NormalWeb">
    <w:name w:val="Normal (Web)"/>
    <w:basedOn w:val="Normal"/>
    <w:uiPriority w:val="99"/>
    <w:semiHidden/>
    <w:unhideWhenUsed/>
    <w:rsid w:val="00F2143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3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A5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2143A"/>
    <w:rPr>
      <w:b/>
      <w:bCs/>
    </w:rPr>
  </w:style>
  <w:style w:type="character" w:styleId="Lienhypertexte">
    <w:name w:val="Hyperlink"/>
    <w:basedOn w:val="Policepardfaut"/>
    <w:uiPriority w:val="99"/>
    <w:semiHidden/>
    <w:unhideWhenUsed/>
    <w:rsid w:val="00F2143A"/>
    <w:rPr>
      <w:color w:val="0000FF"/>
      <w:u w:val="single"/>
    </w:rPr>
  </w:style>
  <w:style w:type="paragraph" w:styleId="NormalWeb">
    <w:name w:val="Normal (Web)"/>
    <w:basedOn w:val="Normal"/>
    <w:uiPriority w:val="99"/>
    <w:semiHidden/>
    <w:unhideWhenUsed/>
    <w:rsid w:val="00F2143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3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A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26032">
      <w:bodyDiv w:val="1"/>
      <w:marLeft w:val="0"/>
      <w:marRight w:val="0"/>
      <w:marTop w:val="0"/>
      <w:marBottom w:val="0"/>
      <w:divBdr>
        <w:top w:val="none" w:sz="0" w:space="0" w:color="auto"/>
        <w:left w:val="none" w:sz="0" w:space="0" w:color="auto"/>
        <w:bottom w:val="none" w:sz="0" w:space="0" w:color="auto"/>
        <w:right w:val="none" w:sz="0" w:space="0" w:color="auto"/>
      </w:divBdr>
      <w:divsChild>
        <w:div w:id="2113671169">
          <w:marLeft w:val="0"/>
          <w:marRight w:val="0"/>
          <w:marTop w:val="0"/>
          <w:marBottom w:val="450"/>
          <w:divBdr>
            <w:top w:val="none" w:sz="0" w:space="0" w:color="auto"/>
            <w:left w:val="none" w:sz="0" w:space="0" w:color="auto"/>
            <w:bottom w:val="none" w:sz="0" w:space="0" w:color="auto"/>
            <w:right w:val="none" w:sz="0" w:space="0" w:color="auto"/>
          </w:divBdr>
        </w:div>
        <w:div w:id="1713848777">
          <w:marLeft w:val="0"/>
          <w:marRight w:val="0"/>
          <w:marTop w:val="0"/>
          <w:marBottom w:val="0"/>
          <w:divBdr>
            <w:top w:val="none" w:sz="0" w:space="0" w:color="auto"/>
            <w:left w:val="none" w:sz="0" w:space="0" w:color="auto"/>
            <w:bottom w:val="none" w:sz="0" w:space="0" w:color="auto"/>
            <w:right w:val="none" w:sz="0" w:space="0" w:color="auto"/>
          </w:divBdr>
          <w:divsChild>
            <w:div w:id="298069908">
              <w:marLeft w:val="0"/>
              <w:marRight w:val="0"/>
              <w:marTop w:val="525"/>
              <w:marBottom w:val="525"/>
              <w:divBdr>
                <w:top w:val="none" w:sz="0" w:space="0" w:color="auto"/>
                <w:left w:val="none" w:sz="0" w:space="0" w:color="auto"/>
                <w:bottom w:val="none" w:sz="0" w:space="0" w:color="auto"/>
                <w:right w:val="none" w:sz="0" w:space="0" w:color="auto"/>
              </w:divBdr>
              <w:divsChild>
                <w:div w:id="1274365530">
                  <w:marLeft w:val="0"/>
                  <w:marRight w:val="0"/>
                  <w:marTop w:val="0"/>
                  <w:marBottom w:val="150"/>
                  <w:divBdr>
                    <w:top w:val="none" w:sz="0" w:space="0" w:color="auto"/>
                    <w:left w:val="none" w:sz="0" w:space="0" w:color="auto"/>
                    <w:bottom w:val="none" w:sz="0" w:space="0" w:color="auto"/>
                    <w:right w:val="none" w:sz="0" w:space="0" w:color="auto"/>
                  </w:divBdr>
                </w:div>
              </w:divsChild>
            </w:div>
            <w:div w:id="1580601951">
              <w:marLeft w:val="0"/>
              <w:marRight w:val="0"/>
              <w:marTop w:val="525"/>
              <w:marBottom w:val="525"/>
              <w:divBdr>
                <w:top w:val="none" w:sz="0" w:space="0" w:color="auto"/>
                <w:left w:val="none" w:sz="0" w:space="0" w:color="auto"/>
                <w:bottom w:val="none" w:sz="0" w:space="0" w:color="auto"/>
                <w:right w:val="none" w:sz="0" w:space="0" w:color="auto"/>
              </w:divBdr>
              <w:divsChild>
                <w:div w:id="1198814509">
                  <w:marLeft w:val="0"/>
                  <w:marRight w:val="0"/>
                  <w:marTop w:val="0"/>
                  <w:marBottom w:val="150"/>
                  <w:divBdr>
                    <w:top w:val="none" w:sz="0" w:space="0" w:color="auto"/>
                    <w:left w:val="none" w:sz="0" w:space="0" w:color="auto"/>
                    <w:bottom w:val="none" w:sz="0" w:space="0" w:color="auto"/>
                    <w:right w:val="none" w:sz="0" w:space="0" w:color="auto"/>
                  </w:divBdr>
                </w:div>
              </w:divsChild>
            </w:div>
            <w:div w:id="174852934">
              <w:marLeft w:val="0"/>
              <w:marRight w:val="0"/>
              <w:marTop w:val="525"/>
              <w:marBottom w:val="525"/>
              <w:divBdr>
                <w:top w:val="none" w:sz="0" w:space="0" w:color="auto"/>
                <w:left w:val="none" w:sz="0" w:space="0" w:color="auto"/>
                <w:bottom w:val="none" w:sz="0" w:space="0" w:color="auto"/>
                <w:right w:val="none" w:sz="0" w:space="0" w:color="auto"/>
              </w:divBdr>
              <w:divsChild>
                <w:div w:id="1722243442">
                  <w:marLeft w:val="0"/>
                  <w:marRight w:val="0"/>
                  <w:marTop w:val="0"/>
                  <w:marBottom w:val="150"/>
                  <w:divBdr>
                    <w:top w:val="none" w:sz="0" w:space="0" w:color="auto"/>
                    <w:left w:val="none" w:sz="0" w:space="0" w:color="auto"/>
                    <w:bottom w:val="none" w:sz="0" w:space="0" w:color="auto"/>
                    <w:right w:val="none" w:sz="0" w:space="0" w:color="auto"/>
                  </w:divBdr>
                </w:div>
              </w:divsChild>
            </w:div>
            <w:div w:id="156073206">
              <w:marLeft w:val="0"/>
              <w:marRight w:val="0"/>
              <w:marTop w:val="525"/>
              <w:marBottom w:val="525"/>
              <w:divBdr>
                <w:top w:val="none" w:sz="0" w:space="0" w:color="auto"/>
                <w:left w:val="none" w:sz="0" w:space="0" w:color="auto"/>
                <w:bottom w:val="none" w:sz="0" w:space="0" w:color="auto"/>
                <w:right w:val="none" w:sz="0" w:space="0" w:color="auto"/>
              </w:divBdr>
              <w:divsChild>
                <w:div w:id="1214121110">
                  <w:marLeft w:val="0"/>
                  <w:marRight w:val="0"/>
                  <w:marTop w:val="0"/>
                  <w:marBottom w:val="150"/>
                  <w:divBdr>
                    <w:top w:val="none" w:sz="0" w:space="0" w:color="auto"/>
                    <w:left w:val="none" w:sz="0" w:space="0" w:color="auto"/>
                    <w:bottom w:val="none" w:sz="0" w:space="0" w:color="auto"/>
                    <w:right w:val="none" w:sz="0" w:space="0" w:color="auto"/>
                  </w:divBdr>
                </w:div>
              </w:divsChild>
            </w:div>
            <w:div w:id="452791607">
              <w:marLeft w:val="0"/>
              <w:marRight w:val="0"/>
              <w:marTop w:val="525"/>
              <w:marBottom w:val="525"/>
              <w:divBdr>
                <w:top w:val="none" w:sz="0" w:space="0" w:color="auto"/>
                <w:left w:val="none" w:sz="0" w:space="0" w:color="auto"/>
                <w:bottom w:val="none" w:sz="0" w:space="0" w:color="auto"/>
                <w:right w:val="none" w:sz="0" w:space="0" w:color="auto"/>
              </w:divBdr>
              <w:divsChild>
                <w:div w:id="1893156539">
                  <w:marLeft w:val="0"/>
                  <w:marRight w:val="0"/>
                  <w:marTop w:val="0"/>
                  <w:marBottom w:val="150"/>
                  <w:divBdr>
                    <w:top w:val="none" w:sz="0" w:space="0" w:color="auto"/>
                    <w:left w:val="none" w:sz="0" w:space="0" w:color="auto"/>
                    <w:bottom w:val="none" w:sz="0" w:space="0" w:color="auto"/>
                    <w:right w:val="none" w:sz="0" w:space="0" w:color="auto"/>
                  </w:divBdr>
                </w:div>
              </w:divsChild>
            </w:div>
            <w:div w:id="1962297581">
              <w:marLeft w:val="0"/>
              <w:marRight w:val="0"/>
              <w:marTop w:val="525"/>
              <w:marBottom w:val="525"/>
              <w:divBdr>
                <w:top w:val="none" w:sz="0" w:space="0" w:color="auto"/>
                <w:left w:val="none" w:sz="0" w:space="0" w:color="auto"/>
                <w:bottom w:val="none" w:sz="0" w:space="0" w:color="auto"/>
                <w:right w:val="none" w:sz="0" w:space="0" w:color="auto"/>
              </w:divBdr>
              <w:divsChild>
                <w:div w:id="20128597">
                  <w:marLeft w:val="0"/>
                  <w:marRight w:val="0"/>
                  <w:marTop w:val="0"/>
                  <w:marBottom w:val="150"/>
                  <w:divBdr>
                    <w:top w:val="none" w:sz="0" w:space="0" w:color="auto"/>
                    <w:left w:val="none" w:sz="0" w:space="0" w:color="auto"/>
                    <w:bottom w:val="none" w:sz="0" w:space="0" w:color="auto"/>
                    <w:right w:val="none" w:sz="0" w:space="0" w:color="auto"/>
                  </w:divBdr>
                </w:div>
              </w:divsChild>
            </w:div>
            <w:div w:id="870076029">
              <w:marLeft w:val="0"/>
              <w:marRight w:val="0"/>
              <w:marTop w:val="525"/>
              <w:marBottom w:val="525"/>
              <w:divBdr>
                <w:top w:val="none" w:sz="0" w:space="0" w:color="auto"/>
                <w:left w:val="none" w:sz="0" w:space="0" w:color="auto"/>
                <w:bottom w:val="none" w:sz="0" w:space="0" w:color="auto"/>
                <w:right w:val="none" w:sz="0" w:space="0" w:color="auto"/>
              </w:divBdr>
              <w:divsChild>
                <w:div w:id="1241217197">
                  <w:marLeft w:val="0"/>
                  <w:marRight w:val="0"/>
                  <w:marTop w:val="0"/>
                  <w:marBottom w:val="150"/>
                  <w:divBdr>
                    <w:top w:val="none" w:sz="0" w:space="0" w:color="auto"/>
                    <w:left w:val="none" w:sz="0" w:space="0" w:color="auto"/>
                    <w:bottom w:val="none" w:sz="0" w:space="0" w:color="auto"/>
                    <w:right w:val="none" w:sz="0" w:space="0" w:color="auto"/>
                  </w:divBdr>
                </w:div>
              </w:divsChild>
            </w:div>
            <w:div w:id="709496211">
              <w:marLeft w:val="0"/>
              <w:marRight w:val="0"/>
              <w:marTop w:val="525"/>
              <w:marBottom w:val="525"/>
              <w:divBdr>
                <w:top w:val="none" w:sz="0" w:space="0" w:color="auto"/>
                <w:left w:val="none" w:sz="0" w:space="0" w:color="auto"/>
                <w:bottom w:val="none" w:sz="0" w:space="0" w:color="auto"/>
                <w:right w:val="none" w:sz="0" w:space="0" w:color="auto"/>
              </w:divBdr>
              <w:divsChild>
                <w:div w:id="1790780600">
                  <w:marLeft w:val="0"/>
                  <w:marRight w:val="0"/>
                  <w:marTop w:val="0"/>
                  <w:marBottom w:val="150"/>
                  <w:divBdr>
                    <w:top w:val="none" w:sz="0" w:space="0" w:color="auto"/>
                    <w:left w:val="none" w:sz="0" w:space="0" w:color="auto"/>
                    <w:bottom w:val="none" w:sz="0" w:space="0" w:color="auto"/>
                    <w:right w:val="none" w:sz="0" w:space="0" w:color="auto"/>
                  </w:divBdr>
                </w:div>
              </w:divsChild>
            </w:div>
            <w:div w:id="464003685">
              <w:marLeft w:val="0"/>
              <w:marRight w:val="0"/>
              <w:marTop w:val="525"/>
              <w:marBottom w:val="525"/>
              <w:divBdr>
                <w:top w:val="none" w:sz="0" w:space="0" w:color="auto"/>
                <w:left w:val="none" w:sz="0" w:space="0" w:color="auto"/>
                <w:bottom w:val="none" w:sz="0" w:space="0" w:color="auto"/>
                <w:right w:val="none" w:sz="0" w:space="0" w:color="auto"/>
              </w:divBdr>
              <w:divsChild>
                <w:div w:id="1555120850">
                  <w:marLeft w:val="0"/>
                  <w:marRight w:val="0"/>
                  <w:marTop w:val="0"/>
                  <w:marBottom w:val="150"/>
                  <w:divBdr>
                    <w:top w:val="none" w:sz="0" w:space="0" w:color="auto"/>
                    <w:left w:val="none" w:sz="0" w:space="0" w:color="auto"/>
                    <w:bottom w:val="none" w:sz="0" w:space="0" w:color="auto"/>
                    <w:right w:val="none" w:sz="0" w:space="0" w:color="auto"/>
                  </w:divBdr>
                </w:div>
              </w:divsChild>
            </w:div>
            <w:div w:id="209221612">
              <w:marLeft w:val="0"/>
              <w:marRight w:val="0"/>
              <w:marTop w:val="525"/>
              <w:marBottom w:val="525"/>
              <w:divBdr>
                <w:top w:val="none" w:sz="0" w:space="0" w:color="auto"/>
                <w:left w:val="none" w:sz="0" w:space="0" w:color="auto"/>
                <w:bottom w:val="none" w:sz="0" w:space="0" w:color="auto"/>
                <w:right w:val="none" w:sz="0" w:space="0" w:color="auto"/>
              </w:divBdr>
            </w:div>
            <w:div w:id="2143889030">
              <w:marLeft w:val="0"/>
              <w:marRight w:val="0"/>
              <w:marTop w:val="525"/>
              <w:marBottom w:val="525"/>
              <w:divBdr>
                <w:top w:val="none" w:sz="0" w:space="0" w:color="auto"/>
                <w:left w:val="none" w:sz="0" w:space="0" w:color="auto"/>
                <w:bottom w:val="none" w:sz="0" w:space="0" w:color="auto"/>
                <w:right w:val="none" w:sz="0" w:space="0" w:color="auto"/>
              </w:divBdr>
              <w:divsChild>
                <w:div w:id="66925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719&amp;idArticle=LEGIARTI000006418581&amp;dateTexte=&amp;categorieLien=cid" TargetMode="External"/><Relationship Id="rId3" Type="http://schemas.microsoft.com/office/2007/relationships/stylesWithEffects" Target="stylesWithEffects.xml"/><Relationship Id="rId7" Type="http://schemas.openxmlformats.org/officeDocument/2006/relationships/hyperlink" Target="https://www.legifrance.gouv.fr/affichCodeArticle.do?cidTexte=LEGITEXT000006070719&amp;idArticle=LEGIARTI000006418575&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468D0E9DC5DE18C7DCDCE795CAD2AB1C.tplgfr26s_1?cidTexte=JORFTEXT000000433988&amp;idArticle=LEGIARTI000006910634&amp;dateTexte=20040212&amp;categorieLien=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1800</Words>
  <Characters>9906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Heugas</dc:creator>
  <cp:lastModifiedBy>Heugas</cp:lastModifiedBy>
  <cp:revision>15</cp:revision>
  <dcterms:created xsi:type="dcterms:W3CDTF">2020-02-10T10:28:00Z</dcterms:created>
  <dcterms:modified xsi:type="dcterms:W3CDTF">2020-02-13T14:32:00Z</dcterms:modified>
</cp:coreProperties>
</file>